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024A0" w14:textId="2848A470" w:rsidR="0072620B" w:rsidRPr="001F3057" w:rsidRDefault="00BD788F" w:rsidP="0072620B">
      <w:pPr>
        <w:pStyle w:val="Default"/>
      </w:pPr>
      <w:r>
        <w:rPr>
          <w:noProof/>
          <w:lang w:eastAsia="en-GB"/>
        </w:rPr>
        <w:drawing>
          <wp:anchor distT="0" distB="0" distL="114300" distR="114300" simplePos="0" relativeHeight="251658240" behindDoc="0" locked="0" layoutInCell="1" allowOverlap="1" wp14:anchorId="67868C9A" wp14:editId="15C4C2C1">
            <wp:simplePos x="0" y="0"/>
            <wp:positionH relativeFrom="column">
              <wp:posOffset>5049078</wp:posOffset>
            </wp:positionH>
            <wp:positionV relativeFrom="page">
              <wp:posOffset>389614</wp:posOffset>
            </wp:positionV>
            <wp:extent cx="1240155" cy="7010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0155" cy="701040"/>
                    </a:xfrm>
                    <a:prstGeom prst="rect">
                      <a:avLst/>
                    </a:prstGeom>
                    <a:noFill/>
                    <a:ln>
                      <a:noFill/>
                    </a:ln>
                  </pic:spPr>
                </pic:pic>
              </a:graphicData>
            </a:graphic>
          </wp:anchor>
        </w:drawing>
      </w:r>
    </w:p>
    <w:p w14:paraId="413354C6" w14:textId="77777777" w:rsidR="00BD788F" w:rsidRDefault="00BD788F" w:rsidP="00B37DBD">
      <w:pPr>
        <w:pStyle w:val="PSANormalInternalDocs"/>
        <w:rPr>
          <w:b/>
          <w:color w:val="001446"/>
        </w:rPr>
      </w:pPr>
    </w:p>
    <w:p w14:paraId="0E0A20F4" w14:textId="77777777" w:rsidR="00BD788F" w:rsidRDefault="00BD788F" w:rsidP="00B37DBD">
      <w:pPr>
        <w:pStyle w:val="PSANormalInternalDocs"/>
        <w:rPr>
          <w:b/>
          <w:color w:val="001446"/>
        </w:rPr>
      </w:pPr>
    </w:p>
    <w:p w14:paraId="2D7C6F3C" w14:textId="77777777" w:rsidR="00BD788F" w:rsidRDefault="00BD788F" w:rsidP="00B37DBD">
      <w:pPr>
        <w:pStyle w:val="PSANormalInternalDocs"/>
        <w:rPr>
          <w:b/>
          <w:color w:val="001446"/>
        </w:rPr>
      </w:pPr>
    </w:p>
    <w:p w14:paraId="12F9DBFB" w14:textId="359EF07B" w:rsidR="0072620B" w:rsidRPr="004841A5" w:rsidRDefault="0072620B" w:rsidP="00B37DBD">
      <w:pPr>
        <w:pStyle w:val="PSANormalInternalDocs"/>
        <w:rPr>
          <w:color w:val="001245"/>
          <w:szCs w:val="22"/>
        </w:rPr>
      </w:pPr>
      <w:r w:rsidRPr="004841A5">
        <w:rPr>
          <w:color w:val="001446"/>
        </w:rPr>
        <w:t xml:space="preserve">Tribunal meeting number: </w:t>
      </w:r>
      <w:r w:rsidR="00B154A1" w:rsidRPr="004841A5">
        <w:rPr>
          <w:color w:val="001245"/>
          <w:szCs w:val="22"/>
        </w:rPr>
        <w:tab/>
      </w:r>
      <w:r w:rsidR="00B154A1" w:rsidRPr="004841A5">
        <w:rPr>
          <w:color w:val="001245"/>
          <w:szCs w:val="22"/>
        </w:rPr>
        <w:tab/>
      </w:r>
      <w:r w:rsidRPr="004841A5">
        <w:rPr>
          <w:color w:val="001245"/>
          <w:szCs w:val="22"/>
        </w:rPr>
        <w:t>238</w:t>
      </w:r>
    </w:p>
    <w:p w14:paraId="1678D519" w14:textId="77777777" w:rsidR="0072620B" w:rsidRPr="004841A5" w:rsidRDefault="0072620B" w:rsidP="00B37DBD">
      <w:pPr>
        <w:pStyle w:val="PSANormalInternalDocs"/>
        <w:rPr>
          <w:color w:val="001446"/>
        </w:rPr>
      </w:pPr>
    </w:p>
    <w:p w14:paraId="3493DA4D" w14:textId="77777777" w:rsidR="0072620B" w:rsidRPr="004841A5" w:rsidRDefault="0072620B" w:rsidP="00B37DBD">
      <w:pPr>
        <w:pStyle w:val="PSANormalInternalDocs"/>
        <w:rPr>
          <w:color w:val="001245"/>
          <w:szCs w:val="22"/>
        </w:rPr>
      </w:pPr>
      <w:r w:rsidRPr="004841A5">
        <w:rPr>
          <w:color w:val="001446"/>
        </w:rPr>
        <w:t xml:space="preserve">Case reference: </w:t>
      </w:r>
      <w:r w:rsidR="00B154A1" w:rsidRPr="004841A5">
        <w:rPr>
          <w:color w:val="001245"/>
          <w:szCs w:val="22"/>
        </w:rPr>
        <w:tab/>
      </w:r>
      <w:r w:rsidR="00B154A1" w:rsidRPr="004841A5">
        <w:rPr>
          <w:color w:val="001245"/>
          <w:szCs w:val="22"/>
        </w:rPr>
        <w:tab/>
      </w:r>
      <w:r w:rsidR="00B154A1" w:rsidRPr="004841A5">
        <w:rPr>
          <w:color w:val="001245"/>
          <w:szCs w:val="22"/>
        </w:rPr>
        <w:tab/>
      </w:r>
      <w:r w:rsidRPr="004841A5">
        <w:rPr>
          <w:rFonts w:cs="Arial"/>
          <w:color w:val="001446"/>
        </w:rPr>
        <w:t>160973</w:t>
      </w:r>
    </w:p>
    <w:p w14:paraId="272A9AFC" w14:textId="77777777" w:rsidR="0072620B" w:rsidRPr="004841A5" w:rsidRDefault="0072620B" w:rsidP="00B37DBD">
      <w:pPr>
        <w:pStyle w:val="PSANormalInternalDocs"/>
        <w:rPr>
          <w:color w:val="001446"/>
        </w:rPr>
      </w:pPr>
    </w:p>
    <w:p w14:paraId="28887550" w14:textId="77777777" w:rsidR="0072620B" w:rsidRPr="004841A5" w:rsidRDefault="0072620B" w:rsidP="00B37DBD">
      <w:pPr>
        <w:pStyle w:val="PSANormalInternalDocs"/>
        <w:rPr>
          <w:color w:val="001245"/>
        </w:rPr>
      </w:pPr>
      <w:r w:rsidRPr="004841A5">
        <w:rPr>
          <w:color w:val="001446"/>
        </w:rPr>
        <w:t>Level 2 provider:</w:t>
      </w:r>
      <w:r w:rsidR="00B154A1" w:rsidRPr="004841A5">
        <w:rPr>
          <w:color w:val="001446"/>
        </w:rPr>
        <w:tab/>
      </w:r>
      <w:r w:rsidR="00B154A1" w:rsidRPr="004841A5">
        <w:rPr>
          <w:color w:val="001245"/>
        </w:rPr>
        <w:tab/>
      </w:r>
      <w:r w:rsidR="00B154A1" w:rsidRPr="004841A5">
        <w:rPr>
          <w:color w:val="001245"/>
        </w:rPr>
        <w:tab/>
      </w:r>
      <w:r w:rsidRPr="004841A5">
        <w:rPr>
          <w:color w:val="001446"/>
        </w:rPr>
        <w:t>Global Awareness Ltd, UK</w:t>
      </w:r>
    </w:p>
    <w:p w14:paraId="160947A5" w14:textId="77777777" w:rsidR="0072620B" w:rsidRPr="004841A5" w:rsidRDefault="0072620B" w:rsidP="00B37DBD">
      <w:pPr>
        <w:pStyle w:val="PSANormalInternalDocs"/>
        <w:rPr>
          <w:color w:val="001446"/>
        </w:rPr>
      </w:pPr>
    </w:p>
    <w:p w14:paraId="7D0E46A6" w14:textId="7ECED3CA" w:rsidR="0072620B" w:rsidRPr="004841A5" w:rsidRDefault="0072620B" w:rsidP="00B37DBD">
      <w:pPr>
        <w:pStyle w:val="PSANormalInternalDocs"/>
        <w:rPr>
          <w:color w:val="001446"/>
        </w:rPr>
      </w:pPr>
      <w:r w:rsidRPr="004841A5">
        <w:rPr>
          <w:color w:val="001446"/>
        </w:rPr>
        <w:t xml:space="preserve">Type of service: </w:t>
      </w:r>
      <w:r w:rsidR="00B154A1" w:rsidRPr="004841A5">
        <w:rPr>
          <w:color w:val="001446"/>
        </w:rPr>
        <w:tab/>
      </w:r>
      <w:r w:rsidR="00B154A1" w:rsidRPr="004841A5">
        <w:rPr>
          <w:color w:val="001245"/>
        </w:rPr>
        <w:tab/>
      </w:r>
      <w:r w:rsidR="00B154A1" w:rsidRPr="004841A5">
        <w:rPr>
          <w:color w:val="001245"/>
        </w:rPr>
        <w:tab/>
      </w:r>
      <w:r w:rsidRPr="004841A5">
        <w:rPr>
          <w:color w:val="001446"/>
        </w:rPr>
        <w:t>Adult</w:t>
      </w:r>
      <w:r w:rsidR="00DB6E09" w:rsidRPr="004841A5">
        <w:rPr>
          <w:color w:val="001446"/>
        </w:rPr>
        <w:t xml:space="preserve"> </w:t>
      </w:r>
      <w:r w:rsidR="00A81375" w:rsidRPr="004841A5">
        <w:rPr>
          <w:color w:val="001446"/>
        </w:rPr>
        <w:t>video subscription</w:t>
      </w:r>
    </w:p>
    <w:p w14:paraId="27B959F9" w14:textId="77777777" w:rsidR="0072620B" w:rsidRPr="004841A5" w:rsidRDefault="0072620B" w:rsidP="00B37DBD">
      <w:pPr>
        <w:pStyle w:val="PSANormalInternalDocs"/>
        <w:rPr>
          <w:color w:val="001446"/>
        </w:rPr>
      </w:pPr>
    </w:p>
    <w:p w14:paraId="0CBD6F1D" w14:textId="13166155" w:rsidR="0072620B" w:rsidRPr="004841A5" w:rsidRDefault="0072620B" w:rsidP="00B37DBD">
      <w:pPr>
        <w:pStyle w:val="PSANormalInternalDocs"/>
        <w:rPr>
          <w:color w:val="001446"/>
        </w:rPr>
      </w:pPr>
      <w:r w:rsidRPr="004841A5">
        <w:rPr>
          <w:color w:val="001446"/>
        </w:rPr>
        <w:t xml:space="preserve">Network operator: </w:t>
      </w:r>
      <w:r w:rsidR="00B154A1" w:rsidRPr="004841A5">
        <w:rPr>
          <w:color w:val="001446"/>
        </w:rPr>
        <w:tab/>
      </w:r>
      <w:r w:rsidR="00B154A1" w:rsidRPr="004841A5">
        <w:rPr>
          <w:color w:val="001245"/>
        </w:rPr>
        <w:tab/>
      </w:r>
      <w:r w:rsidR="00B154A1" w:rsidRPr="004841A5">
        <w:rPr>
          <w:color w:val="001245"/>
        </w:rPr>
        <w:tab/>
      </w:r>
      <w:r w:rsidRPr="004841A5">
        <w:rPr>
          <w:color w:val="001446"/>
        </w:rPr>
        <w:t xml:space="preserve">All </w:t>
      </w:r>
      <w:r w:rsidR="00A81375" w:rsidRPr="004841A5">
        <w:rPr>
          <w:color w:val="001446"/>
        </w:rPr>
        <w:t>mobile network operators</w:t>
      </w:r>
    </w:p>
    <w:p w14:paraId="5A5C7437" w14:textId="77777777" w:rsidR="0072620B" w:rsidRPr="004841A5" w:rsidRDefault="0072620B" w:rsidP="00B37DBD">
      <w:pPr>
        <w:pStyle w:val="PSANormalInternalDocs"/>
        <w:rPr>
          <w:rFonts w:cs="Arial"/>
          <w:szCs w:val="22"/>
        </w:rPr>
      </w:pPr>
    </w:p>
    <w:p w14:paraId="27E3432A" w14:textId="77777777" w:rsidR="0072620B" w:rsidRPr="004841A5" w:rsidRDefault="0072620B" w:rsidP="00B37DBD">
      <w:pPr>
        <w:pStyle w:val="PSANormalInternalDocs"/>
      </w:pPr>
    </w:p>
    <w:p w14:paraId="54946C49" w14:textId="3CF1AD20" w:rsidR="0072620B" w:rsidRPr="004841A5" w:rsidRDefault="0072620B" w:rsidP="00B37DBD">
      <w:pPr>
        <w:pStyle w:val="PSASubtitlesInternalDocs"/>
        <w:rPr>
          <w:b w:val="0"/>
          <w:color w:val="002060"/>
        </w:rPr>
      </w:pPr>
      <w:r w:rsidRPr="004841A5">
        <w:rPr>
          <w:b w:val="0"/>
          <w:color w:val="002060"/>
        </w:rPr>
        <w:t xml:space="preserve">This case was brought against the </w:t>
      </w:r>
      <w:r w:rsidRPr="004841A5">
        <w:rPr>
          <w:b w:val="0"/>
          <w:color w:val="002060"/>
          <w:szCs w:val="22"/>
        </w:rPr>
        <w:t>Level 2 provider under Paragraph 4.8.6(b) of the Code of Practice</w:t>
      </w:r>
      <w:r w:rsidR="004841A5" w:rsidRPr="004841A5">
        <w:rPr>
          <w:b w:val="0"/>
          <w:color w:val="002060"/>
          <w:szCs w:val="22"/>
        </w:rPr>
        <w:t>.</w:t>
      </w:r>
    </w:p>
    <w:p w14:paraId="5D0B180A" w14:textId="77777777" w:rsidR="006138FF" w:rsidRPr="001F3057" w:rsidRDefault="006138FF" w:rsidP="00B37DBD">
      <w:pPr>
        <w:pStyle w:val="PSANormalInternalDocs"/>
        <w:rPr>
          <w:rStyle w:val="Emphasis"/>
          <w:b/>
          <w:u w:val="single"/>
        </w:rPr>
      </w:pPr>
      <w:bookmarkStart w:id="0" w:name="_Toc321824958"/>
      <w:bookmarkStart w:id="1" w:name="_Toc321824651"/>
    </w:p>
    <w:p w14:paraId="0DA62A94" w14:textId="0838AA16" w:rsidR="0072620B" w:rsidRPr="001F3057" w:rsidRDefault="0072620B" w:rsidP="00B37DBD">
      <w:pPr>
        <w:pStyle w:val="PSASubtitlesFormal"/>
        <w:rPr>
          <w:rStyle w:val="Emphasis"/>
          <w:b w:val="0"/>
          <w:i w:val="0"/>
        </w:rPr>
      </w:pPr>
      <w:r w:rsidRPr="001F3057">
        <w:rPr>
          <w:rStyle w:val="Emphasis"/>
          <w:i w:val="0"/>
        </w:rPr>
        <w:t xml:space="preserve">Background </w:t>
      </w:r>
      <w:bookmarkEnd w:id="0"/>
      <w:bookmarkEnd w:id="1"/>
    </w:p>
    <w:p w14:paraId="3ABC154E" w14:textId="77777777" w:rsidR="0072620B" w:rsidRPr="001F3057" w:rsidRDefault="0072620B" w:rsidP="0043113B">
      <w:pPr>
        <w:pStyle w:val="PSANormalFormal"/>
        <w:rPr>
          <w:rStyle w:val="Emphasis"/>
          <w:i w:val="0"/>
        </w:rPr>
      </w:pPr>
    </w:p>
    <w:p w14:paraId="5C8A2B40" w14:textId="5CA0ADBA" w:rsidR="0072620B" w:rsidRPr="001F3057" w:rsidRDefault="0072620B" w:rsidP="0043113B">
      <w:pPr>
        <w:pStyle w:val="PSANormalFormal"/>
        <w:rPr>
          <w:rStyle w:val="Emphasis"/>
          <w:i w:val="0"/>
          <w:szCs w:val="22"/>
        </w:rPr>
      </w:pPr>
      <w:r w:rsidRPr="001F3057">
        <w:t>Th</w:t>
      </w:r>
      <w:r w:rsidR="00FB5108" w:rsidRPr="001F3057">
        <w:t>e</w:t>
      </w:r>
      <w:r w:rsidRPr="001F3057">
        <w:t xml:space="preserve"> case concern</w:t>
      </w:r>
      <w:r w:rsidR="00DB6E09" w:rsidRPr="001F3057">
        <w:t>ed</w:t>
      </w:r>
      <w:r w:rsidRPr="001F3057">
        <w:t xml:space="preserve"> non-payment of financial sanctions imposed by a</w:t>
      </w:r>
      <w:r w:rsidR="00FB5108" w:rsidRPr="001F3057">
        <w:t>n</w:t>
      </w:r>
      <w:r w:rsidR="00CD09D9" w:rsidRPr="001F3057">
        <w:t xml:space="preserve"> earlier</w:t>
      </w:r>
      <w:r w:rsidRPr="001F3057">
        <w:t xml:space="preserve"> Tribunal</w:t>
      </w:r>
      <w:r w:rsidR="00CD09D9" w:rsidRPr="001F3057">
        <w:t xml:space="preserve"> on </w:t>
      </w:r>
      <w:r w:rsidR="00A81375">
        <w:br/>
      </w:r>
      <w:r w:rsidR="00CD09D9" w:rsidRPr="001F3057">
        <w:t>15 February 2017</w:t>
      </w:r>
      <w:r w:rsidRPr="001F3057">
        <w:t xml:space="preserve"> (case reference 71967). The </w:t>
      </w:r>
      <w:r w:rsidR="00DC08EA" w:rsidRPr="001F3057">
        <w:t xml:space="preserve">original </w:t>
      </w:r>
      <w:r w:rsidRPr="001F3057">
        <w:t xml:space="preserve">case concerned five </w:t>
      </w:r>
      <w:r w:rsidR="00CD09D9" w:rsidRPr="001F3057">
        <w:t>adult</w:t>
      </w:r>
      <w:r w:rsidRPr="001F3057">
        <w:t xml:space="preserve"> video subscription services (“the Services”) operated by </w:t>
      </w:r>
      <w:r w:rsidRPr="001F3057">
        <w:rPr>
          <w:rStyle w:val="Emphasis"/>
          <w:i w:val="0"/>
          <w:szCs w:val="22"/>
        </w:rPr>
        <w:t>Global Awareness Limited (the “</w:t>
      </w:r>
      <w:r w:rsidRPr="001F3057">
        <w:rPr>
          <w:rStyle w:val="Emphasis"/>
          <w:b/>
          <w:i w:val="0"/>
          <w:szCs w:val="22"/>
        </w:rPr>
        <w:t>Level 2 provider</w:t>
      </w:r>
      <w:r w:rsidRPr="001F3057">
        <w:rPr>
          <w:rStyle w:val="Emphasis"/>
          <w:i w:val="0"/>
          <w:szCs w:val="22"/>
        </w:rPr>
        <w:t xml:space="preserve">”). The Level 1 providers for the Services were </w:t>
      </w:r>
      <w:proofErr w:type="spellStart"/>
      <w:r w:rsidRPr="001F3057">
        <w:rPr>
          <w:rStyle w:val="Emphasis"/>
          <w:i w:val="0"/>
          <w:szCs w:val="22"/>
        </w:rPr>
        <w:t>Veoo</w:t>
      </w:r>
      <w:proofErr w:type="spellEnd"/>
      <w:r w:rsidRPr="001F3057">
        <w:rPr>
          <w:rStyle w:val="Emphasis"/>
          <w:i w:val="0"/>
          <w:szCs w:val="22"/>
        </w:rPr>
        <w:t xml:space="preserve"> Ltd (“</w:t>
      </w:r>
      <w:proofErr w:type="spellStart"/>
      <w:r w:rsidRPr="001F3057">
        <w:rPr>
          <w:rStyle w:val="Emphasis"/>
          <w:b/>
          <w:i w:val="0"/>
          <w:szCs w:val="22"/>
        </w:rPr>
        <w:t>Veoo</w:t>
      </w:r>
      <w:proofErr w:type="spellEnd"/>
      <w:r w:rsidRPr="001F3057">
        <w:rPr>
          <w:rStyle w:val="Emphasis"/>
          <w:i w:val="0"/>
          <w:szCs w:val="22"/>
        </w:rPr>
        <w:t xml:space="preserve">”), </w:t>
      </w:r>
      <w:proofErr w:type="spellStart"/>
      <w:r w:rsidRPr="001F3057">
        <w:rPr>
          <w:rStyle w:val="Emphasis"/>
          <w:i w:val="0"/>
          <w:szCs w:val="22"/>
        </w:rPr>
        <w:t>mGage</w:t>
      </w:r>
      <w:proofErr w:type="spellEnd"/>
      <w:r w:rsidRPr="001F3057">
        <w:rPr>
          <w:rStyle w:val="Emphasis"/>
          <w:i w:val="0"/>
          <w:szCs w:val="22"/>
        </w:rPr>
        <w:t xml:space="preserve"> Europe Limited (“</w:t>
      </w:r>
      <w:proofErr w:type="spellStart"/>
      <w:r w:rsidRPr="001F3057">
        <w:rPr>
          <w:rStyle w:val="Emphasis"/>
          <w:b/>
          <w:i w:val="0"/>
          <w:szCs w:val="22"/>
        </w:rPr>
        <w:t>mGage</w:t>
      </w:r>
      <w:proofErr w:type="spellEnd"/>
      <w:r w:rsidRPr="001F3057">
        <w:rPr>
          <w:rStyle w:val="Emphasis"/>
          <w:i w:val="0"/>
          <w:szCs w:val="22"/>
        </w:rPr>
        <w:t xml:space="preserve">”) and </w:t>
      </w:r>
      <w:proofErr w:type="spellStart"/>
      <w:r w:rsidRPr="001F3057">
        <w:rPr>
          <w:rStyle w:val="Emphasis"/>
          <w:i w:val="0"/>
          <w:szCs w:val="22"/>
        </w:rPr>
        <w:t>Zamano</w:t>
      </w:r>
      <w:proofErr w:type="spellEnd"/>
      <w:r w:rsidRPr="001F3057">
        <w:rPr>
          <w:rStyle w:val="Emphasis"/>
          <w:i w:val="0"/>
          <w:szCs w:val="22"/>
        </w:rPr>
        <w:t xml:space="preserve"> Solutions (“</w:t>
      </w:r>
      <w:proofErr w:type="spellStart"/>
      <w:r w:rsidRPr="001F3057">
        <w:rPr>
          <w:rStyle w:val="Emphasis"/>
          <w:b/>
          <w:i w:val="0"/>
          <w:szCs w:val="22"/>
        </w:rPr>
        <w:t>Zamano</w:t>
      </w:r>
      <w:proofErr w:type="spellEnd"/>
      <w:r w:rsidRPr="001F3057">
        <w:rPr>
          <w:rStyle w:val="Emphasis"/>
          <w:i w:val="0"/>
          <w:szCs w:val="22"/>
        </w:rPr>
        <w:t>”).</w:t>
      </w:r>
    </w:p>
    <w:p w14:paraId="3BAA0EE4" w14:textId="77777777" w:rsidR="0072620B" w:rsidRPr="001F3057" w:rsidRDefault="0072620B" w:rsidP="0043113B">
      <w:pPr>
        <w:pStyle w:val="PSANormalFormal"/>
        <w:rPr>
          <w:rStyle w:val="Emphasis"/>
          <w:i w:val="0"/>
          <w:szCs w:val="22"/>
        </w:rPr>
      </w:pPr>
    </w:p>
    <w:p w14:paraId="060A161A" w14:textId="77777777" w:rsidR="0072620B" w:rsidRPr="001F3057" w:rsidRDefault="0072620B" w:rsidP="0043113B">
      <w:pPr>
        <w:pStyle w:val="PSANormalFormal"/>
      </w:pPr>
      <w:r w:rsidRPr="001F3057">
        <w:rPr>
          <w:rStyle w:val="Emphasis"/>
          <w:i w:val="0"/>
          <w:szCs w:val="22"/>
        </w:rPr>
        <w:t xml:space="preserve">The Executive </w:t>
      </w:r>
      <w:r w:rsidR="00DC08EA" w:rsidRPr="001F3057">
        <w:rPr>
          <w:rStyle w:val="Emphasis"/>
          <w:i w:val="0"/>
          <w:szCs w:val="22"/>
        </w:rPr>
        <w:t xml:space="preserve">had </w:t>
      </w:r>
      <w:r w:rsidRPr="001F3057">
        <w:rPr>
          <w:rStyle w:val="Emphasis"/>
          <w:i w:val="0"/>
          <w:szCs w:val="22"/>
        </w:rPr>
        <w:t xml:space="preserve">received 524 complaints concerning the Services between 25 March 2015 and 5 July 2017. </w:t>
      </w:r>
    </w:p>
    <w:p w14:paraId="4BFE8BAE" w14:textId="77777777" w:rsidR="0072620B" w:rsidRPr="001F3057" w:rsidRDefault="0072620B" w:rsidP="0043113B">
      <w:pPr>
        <w:pStyle w:val="PSANormalFormal"/>
        <w:rPr>
          <w:rStyle w:val="Emphasis"/>
          <w:i w:val="0"/>
          <w:iCs w:val="0"/>
          <w:szCs w:val="22"/>
        </w:rPr>
      </w:pPr>
    </w:p>
    <w:p w14:paraId="7F4180CD" w14:textId="77777777" w:rsidR="0072620B" w:rsidRPr="001F3057" w:rsidRDefault="0072620B" w:rsidP="0043113B">
      <w:pPr>
        <w:pStyle w:val="PSANormalFormal"/>
        <w:rPr>
          <w:rStyle w:val="Emphasis"/>
          <w:i w:val="0"/>
          <w:iCs w:val="0"/>
          <w:szCs w:val="22"/>
        </w:rPr>
      </w:pPr>
      <w:r w:rsidRPr="001F3057">
        <w:rPr>
          <w:rStyle w:val="Emphasis"/>
          <w:i w:val="0"/>
          <w:szCs w:val="22"/>
        </w:rPr>
        <w:t>All five services ha</w:t>
      </w:r>
      <w:r w:rsidR="006E0376" w:rsidRPr="001F3057">
        <w:rPr>
          <w:rStyle w:val="Emphasis"/>
          <w:i w:val="0"/>
          <w:szCs w:val="22"/>
        </w:rPr>
        <w:t>d</w:t>
      </w:r>
      <w:r w:rsidRPr="001F3057">
        <w:rPr>
          <w:rStyle w:val="Emphasis"/>
          <w:i w:val="0"/>
          <w:szCs w:val="22"/>
        </w:rPr>
        <w:t xml:space="preserve"> ceased operation and promotion</w:t>
      </w:r>
      <w:r w:rsidR="00BA119A" w:rsidRPr="001F3057">
        <w:rPr>
          <w:rStyle w:val="Emphasis"/>
          <w:i w:val="0"/>
          <w:szCs w:val="22"/>
        </w:rPr>
        <w:t xml:space="preserve"> as of the date of the original Tribunal</w:t>
      </w:r>
      <w:r w:rsidRPr="001F3057">
        <w:rPr>
          <w:rStyle w:val="Emphasis"/>
          <w:i w:val="0"/>
          <w:szCs w:val="22"/>
        </w:rPr>
        <w:t xml:space="preserve">. </w:t>
      </w:r>
    </w:p>
    <w:p w14:paraId="0EF73C93" w14:textId="77777777" w:rsidR="0072620B" w:rsidRPr="001F3057" w:rsidRDefault="0072620B" w:rsidP="0043113B">
      <w:pPr>
        <w:pStyle w:val="PSANormalFormal"/>
        <w:rPr>
          <w:rStyle w:val="Emphasis"/>
          <w:i w:val="0"/>
          <w:iCs w:val="0"/>
          <w:szCs w:val="22"/>
        </w:rPr>
      </w:pPr>
    </w:p>
    <w:p w14:paraId="3DDB8FDF" w14:textId="69F48786" w:rsidR="0072620B" w:rsidRPr="001F3057" w:rsidRDefault="0072620B" w:rsidP="0043113B">
      <w:pPr>
        <w:pStyle w:val="PSANormalFormal"/>
        <w:rPr>
          <w:rStyle w:val="Emphasis"/>
          <w:i w:val="0"/>
          <w:iCs w:val="0"/>
          <w:szCs w:val="22"/>
        </w:rPr>
      </w:pPr>
      <w:r w:rsidRPr="001F3057">
        <w:rPr>
          <w:rStyle w:val="Emphasis"/>
          <w:i w:val="0"/>
          <w:szCs w:val="22"/>
        </w:rPr>
        <w:t xml:space="preserve">On 27 December 2016, Global Awareness </w:t>
      </w:r>
      <w:r w:rsidR="00D20A34">
        <w:rPr>
          <w:rStyle w:val="Emphasis"/>
          <w:i w:val="0"/>
          <w:szCs w:val="22"/>
        </w:rPr>
        <w:t>Ltd</w:t>
      </w:r>
      <w:r w:rsidRPr="001F3057">
        <w:rPr>
          <w:rStyle w:val="Emphasis"/>
          <w:i w:val="0"/>
          <w:szCs w:val="22"/>
        </w:rPr>
        <w:t xml:space="preserve"> dissolved</w:t>
      </w:r>
      <w:r w:rsidR="0040221A" w:rsidRPr="001F3057">
        <w:rPr>
          <w:rStyle w:val="Emphasis"/>
          <w:i w:val="0"/>
          <w:szCs w:val="22"/>
        </w:rPr>
        <w:t xml:space="preserve">. </w:t>
      </w:r>
      <w:r w:rsidRPr="001F3057">
        <w:rPr>
          <w:rStyle w:val="Emphasis"/>
          <w:i w:val="0"/>
          <w:szCs w:val="22"/>
        </w:rPr>
        <w:t xml:space="preserve">The Executive </w:t>
      </w:r>
      <w:r w:rsidR="006E0376" w:rsidRPr="001F3057">
        <w:rPr>
          <w:rStyle w:val="Emphasis"/>
          <w:i w:val="0"/>
          <w:szCs w:val="22"/>
        </w:rPr>
        <w:t>submitted</w:t>
      </w:r>
      <w:r w:rsidRPr="001F3057">
        <w:rPr>
          <w:rStyle w:val="Emphasis"/>
          <w:i w:val="0"/>
          <w:szCs w:val="22"/>
        </w:rPr>
        <w:t xml:space="preserve"> a petition to restore the company in order to complete the regulatory process. The company was restored on 31 October 2017.</w:t>
      </w:r>
    </w:p>
    <w:p w14:paraId="2B2B27E5" w14:textId="77777777" w:rsidR="0072620B" w:rsidRPr="001F3057" w:rsidRDefault="0072620B" w:rsidP="0043113B">
      <w:pPr>
        <w:pStyle w:val="PSANormalFormal"/>
      </w:pPr>
    </w:p>
    <w:p w14:paraId="31A6336A" w14:textId="2813EE4E" w:rsidR="0072620B" w:rsidRPr="001F3057" w:rsidRDefault="0072620B" w:rsidP="0043113B">
      <w:pPr>
        <w:pStyle w:val="PSANormalFormal"/>
      </w:pPr>
      <w:r w:rsidRPr="001F3057">
        <w:t>On 15 February 2017, under the 12</w:t>
      </w:r>
      <w:r w:rsidRPr="001F3057">
        <w:rPr>
          <w:vertAlign w:val="superscript"/>
        </w:rPr>
        <w:t>th</w:t>
      </w:r>
      <w:r w:rsidRPr="001F3057">
        <w:t>, 13</w:t>
      </w:r>
      <w:r w:rsidRPr="001F3057">
        <w:rPr>
          <w:vertAlign w:val="superscript"/>
        </w:rPr>
        <w:t>th</w:t>
      </w:r>
      <w:r w:rsidRPr="001F3057">
        <w:t xml:space="preserve"> and 14</w:t>
      </w:r>
      <w:r w:rsidRPr="001F3057">
        <w:rPr>
          <w:vertAlign w:val="superscript"/>
        </w:rPr>
        <w:t>th</w:t>
      </w:r>
      <w:r w:rsidRPr="001F3057">
        <w:t xml:space="preserve"> Code of Practice, the Tribunal upheld breaches of rules 2.3.3 (consent to charge), 4.2.3/4.2.5 (failure to provide information) and 3.1.7 (inadequate technical quality). The overall final assessment of the case was ‘</w:t>
      </w:r>
      <w:r w:rsidR="00F163E4" w:rsidRPr="001F3057">
        <w:t>Very Serious</w:t>
      </w:r>
      <w:r w:rsidRPr="001F3057">
        <w:t>’ and the following sanctions were imposed as a result</w:t>
      </w:r>
      <w:r w:rsidR="001F3057">
        <w:t>:</w:t>
      </w:r>
    </w:p>
    <w:p w14:paraId="500F3E53" w14:textId="77777777" w:rsidR="0072620B" w:rsidRPr="001F3057" w:rsidRDefault="0072620B" w:rsidP="00B37DBD">
      <w:pPr>
        <w:pStyle w:val="PSANormalInternalDocs"/>
        <w:rPr>
          <w:color w:val="002060"/>
        </w:rPr>
      </w:pPr>
    </w:p>
    <w:p w14:paraId="73D6E7AA" w14:textId="1C2D2BFB" w:rsidR="0072620B" w:rsidRPr="001F3057" w:rsidRDefault="00AE6FBA" w:rsidP="00B37DBD">
      <w:pPr>
        <w:pStyle w:val="PSANormalInternalDocs"/>
        <w:numPr>
          <w:ilvl w:val="0"/>
          <w:numId w:val="8"/>
        </w:numPr>
        <w:rPr>
          <w:color w:val="002060"/>
        </w:rPr>
      </w:pPr>
      <w:r>
        <w:rPr>
          <w:color w:val="002060"/>
        </w:rPr>
        <w:t>a</w:t>
      </w:r>
      <w:r w:rsidR="0072620B" w:rsidRPr="001F3057">
        <w:rPr>
          <w:color w:val="002060"/>
        </w:rPr>
        <w:t xml:space="preserve"> formal reprimand</w:t>
      </w:r>
    </w:p>
    <w:p w14:paraId="16826C15" w14:textId="04B91315" w:rsidR="0072620B" w:rsidRPr="001F3057" w:rsidRDefault="00AE6FBA" w:rsidP="00B37DBD">
      <w:pPr>
        <w:pStyle w:val="PSANormalInternalDocs"/>
        <w:numPr>
          <w:ilvl w:val="0"/>
          <w:numId w:val="8"/>
        </w:numPr>
        <w:rPr>
          <w:color w:val="002060"/>
        </w:rPr>
      </w:pPr>
      <w:r>
        <w:rPr>
          <w:color w:val="002060"/>
        </w:rPr>
        <w:t>a</w:t>
      </w:r>
      <w:r w:rsidR="0072620B" w:rsidRPr="001F3057">
        <w:rPr>
          <w:color w:val="002060"/>
        </w:rPr>
        <w:t xml:space="preserve"> total fine of £650,000</w:t>
      </w:r>
    </w:p>
    <w:p w14:paraId="247916E8" w14:textId="50E68BE4" w:rsidR="0072620B" w:rsidRPr="001F3057" w:rsidRDefault="00AE6FBA" w:rsidP="00B37DBD">
      <w:pPr>
        <w:pStyle w:val="PSANormalInternalDocs"/>
        <w:numPr>
          <w:ilvl w:val="0"/>
          <w:numId w:val="8"/>
        </w:numPr>
        <w:rPr>
          <w:color w:val="002060"/>
        </w:rPr>
      </w:pPr>
      <w:r>
        <w:rPr>
          <w:rFonts w:eastAsiaTheme="minorHAnsi" w:cs="Lato-Regular"/>
          <w:color w:val="002060"/>
        </w:rPr>
        <w:t>a</w:t>
      </w:r>
      <w:r w:rsidR="0072620B" w:rsidRPr="001F3057">
        <w:rPr>
          <w:rFonts w:eastAsiaTheme="minorHAnsi" w:cs="Lato-Regular"/>
          <w:color w:val="002060"/>
        </w:rPr>
        <w:t xml:space="preserve"> requirement that the Level 2 provider remedy the breach by ensuring that it has robust verification of each consumer’s consent to be charged before making any further charge to the consumer, including for existing subscribers to the Service; and that the Level 2 provider take all reasonable steps to ensure that message failures are rectified promptly</w:t>
      </w:r>
    </w:p>
    <w:p w14:paraId="54707B60" w14:textId="66A2AFB4" w:rsidR="0072620B" w:rsidRPr="001F3057" w:rsidRDefault="00AE6FBA" w:rsidP="00B37DBD">
      <w:pPr>
        <w:pStyle w:val="PSANormalInternalDocs"/>
        <w:numPr>
          <w:ilvl w:val="0"/>
          <w:numId w:val="8"/>
        </w:numPr>
        <w:rPr>
          <w:color w:val="002060"/>
        </w:rPr>
      </w:pPr>
      <w:r>
        <w:rPr>
          <w:rFonts w:eastAsiaTheme="minorHAnsi" w:cs="Lato-Regular"/>
          <w:color w:val="002060"/>
        </w:rPr>
        <w:t>a</w:t>
      </w:r>
      <w:r w:rsidR="0072620B" w:rsidRPr="001F3057">
        <w:rPr>
          <w:rFonts w:eastAsiaTheme="minorHAnsi" w:cs="Lato-Regular"/>
          <w:color w:val="002060"/>
        </w:rPr>
        <w:t xml:space="preserve"> bar on access to all number ranges associated with the Services which the Level 2 provider currently operates until it has sought and implemented:</w:t>
      </w:r>
    </w:p>
    <w:p w14:paraId="08D7A631" w14:textId="24A82D47" w:rsidR="00D80142" w:rsidRDefault="00AE6FBA" w:rsidP="00B37DBD">
      <w:pPr>
        <w:pStyle w:val="PSANormalInternalDocs"/>
        <w:numPr>
          <w:ilvl w:val="0"/>
          <w:numId w:val="8"/>
        </w:numPr>
        <w:rPr>
          <w:color w:val="002060"/>
        </w:rPr>
      </w:pPr>
      <w:r>
        <w:rPr>
          <w:color w:val="002060"/>
        </w:rPr>
        <w:t>c</w:t>
      </w:r>
      <w:r w:rsidR="0072620B" w:rsidRPr="00D80142">
        <w:rPr>
          <w:color w:val="002060"/>
        </w:rPr>
        <w:t>ompliance advice on Consent to Charge</w:t>
      </w:r>
    </w:p>
    <w:p w14:paraId="1D7041FF" w14:textId="727D2229" w:rsidR="0072620B" w:rsidRPr="00D80142" w:rsidRDefault="00AE6FBA" w:rsidP="00B37DBD">
      <w:pPr>
        <w:pStyle w:val="PSANormalInternalDocs"/>
        <w:numPr>
          <w:ilvl w:val="0"/>
          <w:numId w:val="8"/>
        </w:numPr>
        <w:rPr>
          <w:color w:val="002060"/>
        </w:rPr>
      </w:pPr>
      <w:r>
        <w:rPr>
          <w:color w:val="002060"/>
        </w:rPr>
        <w:t>r</w:t>
      </w:r>
      <w:r w:rsidR="0072620B" w:rsidRPr="00D80142">
        <w:rPr>
          <w:color w:val="002060"/>
        </w:rPr>
        <w:t>emedied the breaches as required by the sanctions</w:t>
      </w:r>
    </w:p>
    <w:p w14:paraId="76A09798" w14:textId="6AE2CA96" w:rsidR="00B37DBD" w:rsidRPr="001F3057" w:rsidRDefault="00AE6FBA" w:rsidP="001A289B">
      <w:pPr>
        <w:pStyle w:val="PSANormalInternalDocs"/>
        <w:numPr>
          <w:ilvl w:val="0"/>
          <w:numId w:val="8"/>
        </w:numPr>
        <w:rPr>
          <w:rStyle w:val="PSANormalFormalChar"/>
          <w:rFonts w:eastAsiaTheme="minorHAnsi"/>
          <w:color w:val="002060"/>
        </w:rPr>
      </w:pPr>
      <w:r>
        <w:rPr>
          <w:rFonts w:eastAsiaTheme="minorHAnsi" w:cs="Lato-Regular"/>
          <w:color w:val="002060"/>
        </w:rPr>
        <w:lastRenderedPageBreak/>
        <w:t>a</w:t>
      </w:r>
      <w:r w:rsidR="0072620B" w:rsidRPr="001F3057">
        <w:rPr>
          <w:rFonts w:eastAsiaTheme="minorHAnsi" w:cs="Lato-Regular"/>
          <w:color w:val="002060"/>
        </w:rPr>
        <w:t xml:space="preserve"> requirement that the Level 2 provider must refund all complainants who claim a refund, within 28 days, for the full amount spent by them on the Service, save where there is good cause to believe that such claims are not valid, and provide evidence to the PSA that such refunds have been made.</w:t>
      </w:r>
    </w:p>
    <w:p w14:paraId="09E498C2" w14:textId="77777777" w:rsidR="001A289B" w:rsidRPr="001F3057" w:rsidRDefault="001A289B" w:rsidP="00B37DBD">
      <w:pPr>
        <w:pStyle w:val="PSANormalInternalDocs"/>
      </w:pPr>
    </w:p>
    <w:p w14:paraId="21C50BBE" w14:textId="77777777" w:rsidR="00B37DBD" w:rsidRPr="00D80142" w:rsidRDefault="0072620B" w:rsidP="0043113B">
      <w:pPr>
        <w:pStyle w:val="PSANormalFormal"/>
        <w:rPr>
          <w:color w:val="002060"/>
        </w:rPr>
      </w:pPr>
      <w:r w:rsidRPr="00D80142">
        <w:rPr>
          <w:color w:val="002060"/>
        </w:rPr>
        <w:t>The Tribunal also recommended payment of 100% of the administrative charge</w:t>
      </w:r>
      <w:r w:rsidR="00F37AAD" w:rsidRPr="00D80142">
        <w:rPr>
          <w:color w:val="002060"/>
        </w:rPr>
        <w:t xml:space="preserve"> of</w:t>
      </w:r>
      <w:r w:rsidRPr="00D80142">
        <w:rPr>
          <w:color w:val="002060"/>
        </w:rPr>
        <w:t xml:space="preserve"> £12,570.00. </w:t>
      </w:r>
    </w:p>
    <w:p w14:paraId="1F603385" w14:textId="77777777" w:rsidR="00D353BE" w:rsidRPr="00D80142" w:rsidRDefault="00D353BE" w:rsidP="0043113B">
      <w:pPr>
        <w:pStyle w:val="PSANormalFormal"/>
        <w:rPr>
          <w:color w:val="002060"/>
        </w:rPr>
      </w:pPr>
    </w:p>
    <w:p w14:paraId="48A53155" w14:textId="77777777" w:rsidR="0072620B" w:rsidRPr="00D80142" w:rsidRDefault="0072620B" w:rsidP="0043113B">
      <w:pPr>
        <w:pStyle w:val="PSANormalFormal"/>
        <w:rPr>
          <w:color w:val="002060"/>
        </w:rPr>
      </w:pPr>
      <w:r w:rsidRPr="00D80142">
        <w:rPr>
          <w:color w:val="002060"/>
        </w:rPr>
        <w:t xml:space="preserve">The Level 2 provider was notified of the Tribunal’s decision on 24 January 2018. </w:t>
      </w:r>
    </w:p>
    <w:p w14:paraId="046276AE" w14:textId="77777777" w:rsidR="0072620B" w:rsidRPr="00D80142" w:rsidRDefault="0072620B" w:rsidP="0043113B">
      <w:pPr>
        <w:pStyle w:val="PSANormalFormal"/>
        <w:rPr>
          <w:color w:val="002060"/>
        </w:rPr>
      </w:pPr>
      <w:r w:rsidRPr="00D80142">
        <w:rPr>
          <w:color w:val="002060"/>
        </w:rPr>
        <w:t xml:space="preserve">A withhold </w:t>
      </w:r>
      <w:r w:rsidR="00F37AAD" w:rsidRPr="00D80142">
        <w:rPr>
          <w:color w:val="002060"/>
        </w:rPr>
        <w:t>of service revenue had been</w:t>
      </w:r>
      <w:r w:rsidRPr="00D80142">
        <w:rPr>
          <w:color w:val="002060"/>
        </w:rPr>
        <w:t xml:space="preserve"> imposed as an interim measure during the investigation of</w:t>
      </w:r>
      <w:r w:rsidR="00F37AAD" w:rsidRPr="00D80142">
        <w:rPr>
          <w:color w:val="002060"/>
        </w:rPr>
        <w:t xml:space="preserve"> the original case</w:t>
      </w:r>
      <w:r w:rsidRPr="00D80142">
        <w:rPr>
          <w:color w:val="002060"/>
        </w:rPr>
        <w:t xml:space="preserve">. After the adjudication, the Executive issued a direction to </w:t>
      </w:r>
      <w:proofErr w:type="spellStart"/>
      <w:r w:rsidRPr="00D80142">
        <w:rPr>
          <w:color w:val="002060"/>
        </w:rPr>
        <w:t>Veoo</w:t>
      </w:r>
      <w:proofErr w:type="spellEnd"/>
      <w:r w:rsidRPr="00D80142">
        <w:rPr>
          <w:color w:val="002060"/>
        </w:rPr>
        <w:t xml:space="preserve"> and </w:t>
      </w:r>
      <w:proofErr w:type="spellStart"/>
      <w:r w:rsidRPr="00D80142">
        <w:rPr>
          <w:color w:val="002060"/>
        </w:rPr>
        <w:t>Zamano</w:t>
      </w:r>
      <w:proofErr w:type="spellEnd"/>
      <w:r w:rsidRPr="00D80142">
        <w:rPr>
          <w:color w:val="002060"/>
        </w:rPr>
        <w:t xml:space="preserve"> to release the withheld monies. The PSA received £60,898.93 from </w:t>
      </w:r>
      <w:proofErr w:type="spellStart"/>
      <w:r w:rsidRPr="00D80142">
        <w:rPr>
          <w:color w:val="002060"/>
        </w:rPr>
        <w:t>Veoo</w:t>
      </w:r>
      <w:proofErr w:type="spellEnd"/>
      <w:r w:rsidRPr="00D80142">
        <w:rPr>
          <w:color w:val="002060"/>
        </w:rPr>
        <w:t xml:space="preserve"> and £197,400.00 from </w:t>
      </w:r>
      <w:proofErr w:type="spellStart"/>
      <w:r w:rsidRPr="00D80142">
        <w:rPr>
          <w:color w:val="002060"/>
        </w:rPr>
        <w:t>Zamano</w:t>
      </w:r>
      <w:proofErr w:type="spellEnd"/>
      <w:r w:rsidRPr="00D80142">
        <w:rPr>
          <w:color w:val="002060"/>
        </w:rPr>
        <w:t xml:space="preserve">, which covered payment of the administrative charge in full, as well as part of the fine. The total outstanding fine payment </w:t>
      </w:r>
      <w:r w:rsidR="00F37AAD" w:rsidRPr="00D80142">
        <w:rPr>
          <w:color w:val="002060"/>
        </w:rPr>
        <w:t>wa</w:t>
      </w:r>
      <w:r w:rsidRPr="00D80142">
        <w:rPr>
          <w:color w:val="002060"/>
        </w:rPr>
        <w:t xml:space="preserve">s £404,271.07. </w:t>
      </w:r>
    </w:p>
    <w:p w14:paraId="506F9ACC" w14:textId="77777777" w:rsidR="00B37DBD" w:rsidRPr="00D80142" w:rsidRDefault="0072620B" w:rsidP="0043113B">
      <w:pPr>
        <w:pStyle w:val="PSANormalFormal"/>
        <w:rPr>
          <w:color w:val="002060"/>
        </w:rPr>
      </w:pPr>
      <w:r w:rsidRPr="00D80142">
        <w:rPr>
          <w:color w:val="002060"/>
        </w:rPr>
        <w:t>The Level 2 provider ha</w:t>
      </w:r>
      <w:r w:rsidR="00F37AAD" w:rsidRPr="00D80142">
        <w:rPr>
          <w:color w:val="002060"/>
        </w:rPr>
        <w:t>d</w:t>
      </w:r>
      <w:r w:rsidRPr="00D80142">
        <w:rPr>
          <w:color w:val="002060"/>
        </w:rPr>
        <w:t xml:space="preserve"> made no attempts to pay the outstanding fine and therefore the Executive </w:t>
      </w:r>
      <w:r w:rsidR="00F37AAD" w:rsidRPr="00D80142">
        <w:rPr>
          <w:color w:val="002060"/>
        </w:rPr>
        <w:t>submitted that</w:t>
      </w:r>
      <w:r w:rsidRPr="00D80142">
        <w:rPr>
          <w:color w:val="002060"/>
        </w:rPr>
        <w:t xml:space="preserve"> a breach of 4.8.6 (b) of the Code ha</w:t>
      </w:r>
      <w:r w:rsidR="00F37AAD" w:rsidRPr="00D80142">
        <w:rPr>
          <w:color w:val="002060"/>
        </w:rPr>
        <w:t>d</w:t>
      </w:r>
      <w:r w:rsidRPr="00D80142">
        <w:rPr>
          <w:color w:val="002060"/>
        </w:rPr>
        <w:t xml:space="preserve"> occurred.</w:t>
      </w:r>
    </w:p>
    <w:p w14:paraId="649256AE" w14:textId="77777777" w:rsidR="00DC360D" w:rsidRPr="00D80142" w:rsidRDefault="00DC360D" w:rsidP="0043113B">
      <w:pPr>
        <w:pStyle w:val="PSANormalFormal"/>
        <w:rPr>
          <w:color w:val="002060"/>
        </w:rPr>
      </w:pPr>
    </w:p>
    <w:p w14:paraId="5D14317E" w14:textId="1341169F" w:rsidR="0072620B" w:rsidRPr="00D80142" w:rsidRDefault="0072620B" w:rsidP="0043113B">
      <w:pPr>
        <w:pStyle w:val="PSANormalFormal"/>
        <w:rPr>
          <w:rStyle w:val="Emphasis"/>
          <w:i w:val="0"/>
          <w:color w:val="002060"/>
          <w:szCs w:val="22"/>
        </w:rPr>
      </w:pPr>
      <w:r w:rsidRPr="00D80142">
        <w:rPr>
          <w:rStyle w:val="Emphasis"/>
          <w:i w:val="0"/>
          <w:color w:val="002060"/>
          <w:szCs w:val="22"/>
        </w:rPr>
        <w:t xml:space="preserve">The Executive </w:t>
      </w:r>
      <w:r w:rsidR="00C53705" w:rsidRPr="00D80142">
        <w:rPr>
          <w:rStyle w:val="Emphasis"/>
          <w:i w:val="0"/>
          <w:color w:val="002060"/>
          <w:szCs w:val="22"/>
        </w:rPr>
        <w:t>argued</w:t>
      </w:r>
      <w:r w:rsidRPr="00D80142">
        <w:rPr>
          <w:rStyle w:val="Emphasis"/>
          <w:i w:val="0"/>
          <w:color w:val="002060"/>
          <w:szCs w:val="22"/>
        </w:rPr>
        <w:t xml:space="preserve"> that there ha</w:t>
      </w:r>
      <w:r w:rsidR="00C53705" w:rsidRPr="00D80142">
        <w:rPr>
          <w:rStyle w:val="Emphasis"/>
          <w:i w:val="0"/>
          <w:color w:val="002060"/>
          <w:szCs w:val="22"/>
        </w:rPr>
        <w:t>d</w:t>
      </w:r>
      <w:r w:rsidRPr="00D80142">
        <w:rPr>
          <w:rStyle w:val="Emphasis"/>
          <w:i w:val="0"/>
          <w:color w:val="002060"/>
          <w:szCs w:val="22"/>
        </w:rPr>
        <w:t xml:space="preserve"> been a breach of the </w:t>
      </w:r>
      <w:r w:rsidR="00233F98" w:rsidRPr="00D80142">
        <w:rPr>
          <w:rStyle w:val="Emphasis"/>
          <w:i w:val="0"/>
          <w:color w:val="002060"/>
          <w:szCs w:val="22"/>
        </w:rPr>
        <w:t xml:space="preserve">following provision of the </w:t>
      </w:r>
      <w:r w:rsidR="00F163E4">
        <w:rPr>
          <w:rStyle w:val="Emphasis"/>
          <w:i w:val="0"/>
          <w:color w:val="002060"/>
          <w:szCs w:val="22"/>
        </w:rPr>
        <w:t>PSA</w:t>
      </w:r>
      <w:r w:rsidRPr="00D80142">
        <w:rPr>
          <w:rStyle w:val="Emphasis"/>
          <w:i w:val="0"/>
          <w:color w:val="002060"/>
          <w:szCs w:val="22"/>
        </w:rPr>
        <w:t xml:space="preserve"> Code of Practice 14</w:t>
      </w:r>
      <w:r w:rsidRPr="00D80142">
        <w:rPr>
          <w:rStyle w:val="Emphasis"/>
          <w:i w:val="0"/>
          <w:color w:val="002060"/>
          <w:szCs w:val="22"/>
          <w:vertAlign w:val="superscript"/>
        </w:rPr>
        <w:t>th</w:t>
      </w:r>
      <w:r w:rsidRPr="00D80142">
        <w:rPr>
          <w:rStyle w:val="Emphasis"/>
          <w:i w:val="0"/>
          <w:color w:val="002060"/>
          <w:szCs w:val="22"/>
        </w:rPr>
        <w:t xml:space="preserve"> Edition (“</w:t>
      </w:r>
      <w:r w:rsidRPr="00D80142">
        <w:rPr>
          <w:rStyle w:val="Emphasis"/>
          <w:b/>
          <w:i w:val="0"/>
          <w:color w:val="002060"/>
          <w:szCs w:val="22"/>
        </w:rPr>
        <w:t>the Code</w:t>
      </w:r>
      <w:r w:rsidRPr="00D80142">
        <w:rPr>
          <w:rStyle w:val="Emphasis"/>
          <w:i w:val="0"/>
          <w:color w:val="002060"/>
          <w:szCs w:val="22"/>
        </w:rPr>
        <w:t>”):</w:t>
      </w:r>
    </w:p>
    <w:p w14:paraId="6ABB9845" w14:textId="77777777" w:rsidR="0072620B" w:rsidRPr="00D80142" w:rsidRDefault="0072620B" w:rsidP="00B37DBD">
      <w:pPr>
        <w:pStyle w:val="PSANormalInternalDocs"/>
        <w:rPr>
          <w:rStyle w:val="Emphasis"/>
          <w:i w:val="0"/>
          <w:color w:val="002060"/>
          <w:szCs w:val="22"/>
        </w:rPr>
      </w:pPr>
    </w:p>
    <w:p w14:paraId="39CD85AE" w14:textId="77777777" w:rsidR="0072620B" w:rsidRPr="00D80142" w:rsidRDefault="0072620B" w:rsidP="0043113B">
      <w:pPr>
        <w:pStyle w:val="PSANormalFormal"/>
        <w:rPr>
          <w:rFonts w:eastAsia="Calibri"/>
          <w:color w:val="002060"/>
        </w:rPr>
      </w:pPr>
      <w:r w:rsidRPr="00D80142">
        <w:rPr>
          <w:rStyle w:val="Emphasis"/>
          <w:i w:val="0"/>
          <w:color w:val="002060"/>
          <w:szCs w:val="22"/>
        </w:rPr>
        <w:t>Rule 4.8.6(b) – Failure to comply with a sanction</w:t>
      </w:r>
    </w:p>
    <w:p w14:paraId="1C8E2C4B" w14:textId="77777777" w:rsidR="0072620B" w:rsidRPr="001F3057" w:rsidRDefault="0072620B" w:rsidP="0043113B">
      <w:pPr>
        <w:pStyle w:val="PSANormalFormal"/>
        <w:rPr>
          <w:rFonts w:cs="Arial"/>
          <w:u w:val="single"/>
        </w:rPr>
      </w:pPr>
    </w:p>
    <w:p w14:paraId="1546090C" w14:textId="6E1FB099" w:rsidR="00B37DBD" w:rsidRPr="001F3057" w:rsidRDefault="009557C0" w:rsidP="00D80142">
      <w:pPr>
        <w:pStyle w:val="PSASubtitlesFormal"/>
        <w:rPr>
          <w:rStyle w:val="Emphasis"/>
          <w:i w:val="0"/>
          <w:szCs w:val="22"/>
        </w:rPr>
      </w:pPr>
      <w:r w:rsidRPr="001F3057">
        <w:rPr>
          <w:rStyle w:val="Emphasis"/>
          <w:i w:val="0"/>
          <w:szCs w:val="22"/>
        </w:rPr>
        <w:t xml:space="preserve">Preliminary </w:t>
      </w:r>
      <w:r w:rsidR="00D80142">
        <w:rPr>
          <w:rStyle w:val="Emphasis"/>
          <w:i w:val="0"/>
          <w:szCs w:val="22"/>
        </w:rPr>
        <w:t>i</w:t>
      </w:r>
      <w:r w:rsidRPr="001F3057">
        <w:rPr>
          <w:rStyle w:val="Emphasis"/>
          <w:i w:val="0"/>
          <w:szCs w:val="22"/>
        </w:rPr>
        <w:t>ssue</w:t>
      </w:r>
    </w:p>
    <w:p w14:paraId="3AD5D5FF" w14:textId="3F6A063B" w:rsidR="00233F98" w:rsidRPr="001F3057" w:rsidRDefault="00112389" w:rsidP="0043113B">
      <w:pPr>
        <w:pStyle w:val="PSANormalFormal"/>
        <w:rPr>
          <w:rStyle w:val="Emphasis"/>
          <w:i w:val="0"/>
          <w:iCs w:val="0"/>
        </w:rPr>
      </w:pPr>
      <w:r w:rsidRPr="001F3057">
        <w:rPr>
          <w:rStyle w:val="Emphasis"/>
          <w:i w:val="0"/>
          <w:iCs w:val="0"/>
        </w:rPr>
        <w:t xml:space="preserve">In response to questioning by the Tribunal, the Executive confirmed that </w:t>
      </w:r>
      <w:r w:rsidR="0014048A" w:rsidRPr="001F3057">
        <w:rPr>
          <w:rStyle w:val="Emphasis"/>
          <w:i w:val="0"/>
          <w:iCs w:val="0"/>
        </w:rPr>
        <w:t xml:space="preserve">the Warning Notice </w:t>
      </w:r>
      <w:r w:rsidR="00E61386" w:rsidRPr="001F3057">
        <w:rPr>
          <w:rStyle w:val="Emphasis"/>
          <w:i w:val="0"/>
          <w:iCs w:val="0"/>
        </w:rPr>
        <w:t xml:space="preserve">and also notification of the Tribunal </w:t>
      </w:r>
      <w:r w:rsidR="00F13963" w:rsidRPr="001F3057">
        <w:rPr>
          <w:rStyle w:val="Emphasis"/>
          <w:i w:val="0"/>
          <w:iCs w:val="0"/>
        </w:rPr>
        <w:t xml:space="preserve">hearing </w:t>
      </w:r>
      <w:r w:rsidR="00623532" w:rsidRPr="001F3057">
        <w:rPr>
          <w:rStyle w:val="Emphasis"/>
          <w:i w:val="0"/>
          <w:iCs w:val="0"/>
        </w:rPr>
        <w:t xml:space="preserve">had been sent to the last known email and postal address for the </w:t>
      </w:r>
      <w:r w:rsidR="00E61386" w:rsidRPr="001F3057">
        <w:rPr>
          <w:rStyle w:val="Emphasis"/>
          <w:i w:val="0"/>
          <w:iCs w:val="0"/>
        </w:rPr>
        <w:t>Level 2 provider. The email</w:t>
      </w:r>
      <w:r w:rsidR="00F13963" w:rsidRPr="001F3057">
        <w:rPr>
          <w:rStyle w:val="Emphasis"/>
          <w:i w:val="0"/>
          <w:iCs w:val="0"/>
        </w:rPr>
        <w:t>s</w:t>
      </w:r>
      <w:r w:rsidR="00E61386" w:rsidRPr="001F3057">
        <w:rPr>
          <w:rStyle w:val="Emphasis"/>
          <w:i w:val="0"/>
          <w:iCs w:val="0"/>
        </w:rPr>
        <w:t xml:space="preserve"> had been delivered but postal delivery service</w:t>
      </w:r>
      <w:r w:rsidR="00F13963" w:rsidRPr="001F3057">
        <w:rPr>
          <w:rStyle w:val="Emphasis"/>
          <w:i w:val="0"/>
          <w:iCs w:val="0"/>
        </w:rPr>
        <w:t xml:space="preserve"> UP</w:t>
      </w:r>
      <w:r w:rsidR="00F163E4">
        <w:rPr>
          <w:rStyle w:val="Emphasis"/>
          <w:i w:val="0"/>
          <w:iCs w:val="0"/>
        </w:rPr>
        <w:t>S</w:t>
      </w:r>
      <w:r w:rsidR="00E61386" w:rsidRPr="001F3057">
        <w:rPr>
          <w:rStyle w:val="Emphasis"/>
          <w:i w:val="0"/>
          <w:iCs w:val="0"/>
        </w:rPr>
        <w:t xml:space="preserve"> had returned the hard copy Warning Notice </w:t>
      </w:r>
      <w:r w:rsidR="00F13963" w:rsidRPr="001F3057">
        <w:rPr>
          <w:rStyle w:val="Emphasis"/>
          <w:i w:val="0"/>
          <w:iCs w:val="0"/>
        </w:rPr>
        <w:t>and notification of the Hearing date as undelivered</w:t>
      </w:r>
      <w:r w:rsidR="00A05F17" w:rsidRPr="001F3057">
        <w:rPr>
          <w:rStyle w:val="Emphasis"/>
          <w:i w:val="0"/>
          <w:iCs w:val="0"/>
        </w:rPr>
        <w:t>. The Executive also confirmed that it had called the last known telephone number for the Level 2 provider on two occasions, but the calls did not connect and there was no option to leave a voice message.</w:t>
      </w:r>
    </w:p>
    <w:p w14:paraId="387F59CD" w14:textId="77777777" w:rsidR="00A05F17" w:rsidRPr="001F3057" w:rsidRDefault="00A05F17" w:rsidP="0043113B">
      <w:pPr>
        <w:pStyle w:val="PSANormalFormal"/>
        <w:rPr>
          <w:rStyle w:val="Emphasis"/>
          <w:i w:val="0"/>
          <w:iCs w:val="0"/>
        </w:rPr>
      </w:pPr>
    </w:p>
    <w:p w14:paraId="08A4CFDD" w14:textId="77777777" w:rsidR="00A05F17" w:rsidRPr="001F3057" w:rsidRDefault="00A05F17" w:rsidP="0043113B">
      <w:pPr>
        <w:pStyle w:val="PSANormalFormal"/>
        <w:rPr>
          <w:rStyle w:val="Emphasis"/>
          <w:i w:val="0"/>
          <w:iCs w:val="0"/>
        </w:rPr>
      </w:pPr>
      <w:r w:rsidRPr="001F3057">
        <w:rPr>
          <w:rStyle w:val="Emphasis"/>
          <w:i w:val="0"/>
          <w:iCs w:val="0"/>
        </w:rPr>
        <w:t xml:space="preserve">The Tribunal was satisfied that </w:t>
      </w:r>
      <w:r w:rsidR="00E80553" w:rsidRPr="001F3057">
        <w:rPr>
          <w:rStyle w:val="Emphasis"/>
          <w:i w:val="0"/>
          <w:iCs w:val="0"/>
        </w:rPr>
        <w:t>both the Warning Notice and notification of the Hearing date had been validly served by the Executive.</w:t>
      </w:r>
    </w:p>
    <w:p w14:paraId="35C70237" w14:textId="77777777" w:rsidR="009557C0" w:rsidRPr="001F3057" w:rsidRDefault="009557C0" w:rsidP="0043113B">
      <w:pPr>
        <w:pStyle w:val="PSANormalFormal"/>
        <w:rPr>
          <w:rStyle w:val="Emphasis"/>
          <w:i w:val="0"/>
          <w:szCs w:val="22"/>
        </w:rPr>
      </w:pPr>
    </w:p>
    <w:p w14:paraId="2EACC2E9" w14:textId="77777777" w:rsidR="0072620B" w:rsidRPr="001F3057" w:rsidRDefault="0072620B" w:rsidP="0043113B">
      <w:pPr>
        <w:pStyle w:val="PSANormalFormal"/>
      </w:pPr>
    </w:p>
    <w:p w14:paraId="34BE30B3" w14:textId="288E6EEA" w:rsidR="0072620B" w:rsidRPr="001F3057" w:rsidRDefault="004D2187" w:rsidP="00B37DBD">
      <w:pPr>
        <w:pStyle w:val="PSANormalInternalDocs"/>
        <w:rPr>
          <w:b/>
          <w:color w:val="D30B48"/>
          <w:szCs w:val="22"/>
        </w:rPr>
      </w:pPr>
      <w:r w:rsidRPr="001F3057">
        <w:rPr>
          <w:b/>
          <w:color w:val="D30B48"/>
          <w:szCs w:val="22"/>
        </w:rPr>
        <w:t xml:space="preserve">Alleged </w:t>
      </w:r>
      <w:r w:rsidR="00D80142">
        <w:rPr>
          <w:b/>
          <w:color w:val="D30B48"/>
          <w:szCs w:val="22"/>
        </w:rPr>
        <w:t>b</w:t>
      </w:r>
      <w:r w:rsidRPr="001F3057">
        <w:rPr>
          <w:b/>
          <w:color w:val="D30B48"/>
          <w:szCs w:val="22"/>
        </w:rPr>
        <w:t>reach 1</w:t>
      </w:r>
    </w:p>
    <w:p w14:paraId="7F5F0483" w14:textId="77777777" w:rsidR="004D2187" w:rsidRPr="001F3057" w:rsidRDefault="004D2187" w:rsidP="00B37DBD">
      <w:pPr>
        <w:pStyle w:val="PSANormalInternalDocs"/>
      </w:pPr>
    </w:p>
    <w:p w14:paraId="7B3D0C59" w14:textId="77777777" w:rsidR="0072620B" w:rsidRPr="001F3057" w:rsidRDefault="0072620B" w:rsidP="0043113B">
      <w:pPr>
        <w:pStyle w:val="PSANormalFormal"/>
        <w:rPr>
          <w:rStyle w:val="Emphasis"/>
          <w:i w:val="0"/>
        </w:rPr>
      </w:pPr>
      <w:r w:rsidRPr="001F3057">
        <w:rPr>
          <w:rStyle w:val="Emphasis"/>
          <w:i w:val="0"/>
        </w:rPr>
        <w:t>Paragraph 4.8.6 (b) of the 14th Edition of the Code of Practice states:</w:t>
      </w:r>
    </w:p>
    <w:p w14:paraId="700FAEC9" w14:textId="77777777" w:rsidR="0072620B" w:rsidRPr="001F3057" w:rsidRDefault="0072620B" w:rsidP="0043113B">
      <w:pPr>
        <w:pStyle w:val="PSANormalFormal"/>
        <w:rPr>
          <w:rStyle w:val="Emphasis"/>
          <w:i w:val="0"/>
        </w:rPr>
      </w:pPr>
    </w:p>
    <w:p w14:paraId="24B149FC" w14:textId="77777777" w:rsidR="0072620B" w:rsidRPr="001F3057" w:rsidRDefault="0072620B" w:rsidP="0043113B">
      <w:pPr>
        <w:pStyle w:val="PSANormalFormal"/>
        <w:rPr>
          <w:rFonts w:eastAsia="Calibri"/>
        </w:rPr>
      </w:pPr>
      <w:r w:rsidRPr="001F3057">
        <w:rPr>
          <w:rFonts w:eastAsia="Calibri"/>
        </w:rPr>
        <w:t>“</w:t>
      </w:r>
      <w:r w:rsidRPr="001F3057">
        <w:rPr>
          <w:rFonts w:eastAsia="Calibri"/>
          <w:b/>
        </w:rPr>
        <w:t>The failure of any relevant party to comply with any sanction within a reasonable time will result in (b) a further breach of the Code by the relevant party, which may result in additional sanctions being imposed</w:t>
      </w:r>
      <w:r w:rsidRPr="001F3057">
        <w:rPr>
          <w:rFonts w:eastAsia="Calibri"/>
        </w:rPr>
        <w:t>”</w:t>
      </w:r>
    </w:p>
    <w:p w14:paraId="407010DA" w14:textId="77777777" w:rsidR="00704277" w:rsidRPr="001F3057" w:rsidRDefault="00704277" w:rsidP="0043113B">
      <w:pPr>
        <w:pStyle w:val="PSANormalFormal"/>
      </w:pPr>
    </w:p>
    <w:p w14:paraId="26435FE7" w14:textId="77777777" w:rsidR="0072620B" w:rsidRPr="001F3057" w:rsidRDefault="0072620B" w:rsidP="0043113B">
      <w:pPr>
        <w:pStyle w:val="PSANormalFormal"/>
        <w:numPr>
          <w:ilvl w:val="0"/>
          <w:numId w:val="15"/>
        </w:numPr>
      </w:pPr>
      <w:r w:rsidRPr="001F3057">
        <w:t xml:space="preserve">The Executive </w:t>
      </w:r>
      <w:r w:rsidR="00E80553" w:rsidRPr="001F3057">
        <w:t>submitted that</w:t>
      </w:r>
      <w:r w:rsidRPr="001F3057">
        <w:t xml:space="preserve"> a breach of 4.8.6(b) ha</w:t>
      </w:r>
      <w:r w:rsidR="00E80553" w:rsidRPr="001F3057">
        <w:t>d</w:t>
      </w:r>
      <w:r w:rsidRPr="001F3057">
        <w:t xml:space="preserve"> occurred because the Level 2 provider ha</w:t>
      </w:r>
      <w:r w:rsidR="00E80553" w:rsidRPr="001F3057">
        <w:t>d</w:t>
      </w:r>
      <w:r w:rsidRPr="001F3057">
        <w:t xml:space="preserve"> failed to pay, in full, the financial sanction imposed by the Tribunal o</w:t>
      </w:r>
      <w:r w:rsidR="00E80553" w:rsidRPr="001F3057">
        <w:t>f</w:t>
      </w:r>
      <w:r w:rsidRPr="001F3057">
        <w:t xml:space="preserve"> 15 February 2017</w:t>
      </w:r>
      <w:r w:rsidR="00FF029C" w:rsidRPr="001F3057">
        <w:t xml:space="preserve"> ((case reference 71967</w:t>
      </w:r>
      <w:r w:rsidR="00165B45" w:rsidRPr="001F3057">
        <w:t>)</w:t>
      </w:r>
      <w:r w:rsidR="000C2673" w:rsidRPr="001F3057">
        <w:t>. In that case, the following breaches were upheld</w:t>
      </w:r>
      <w:r w:rsidR="00955115" w:rsidRPr="001F3057">
        <w:t>:</w:t>
      </w:r>
    </w:p>
    <w:p w14:paraId="01C2D931" w14:textId="77777777" w:rsidR="0072620B" w:rsidRPr="001F3057" w:rsidRDefault="0072620B" w:rsidP="0043113B">
      <w:pPr>
        <w:pStyle w:val="PSANormalFormal"/>
      </w:pPr>
    </w:p>
    <w:p w14:paraId="2B12F017" w14:textId="77777777" w:rsidR="0072620B" w:rsidRPr="001F3057" w:rsidRDefault="0072620B" w:rsidP="00DC360D">
      <w:pPr>
        <w:pStyle w:val="PSANormalFormal"/>
        <w:numPr>
          <w:ilvl w:val="0"/>
          <w:numId w:val="11"/>
        </w:numPr>
      </w:pPr>
      <w:r w:rsidRPr="001F3057">
        <w:t>Rule 2.2.3 – Consent to Charge</w:t>
      </w:r>
    </w:p>
    <w:p w14:paraId="10915A2F" w14:textId="77777777" w:rsidR="0072620B" w:rsidRPr="001F3057" w:rsidRDefault="0072620B" w:rsidP="00DC360D">
      <w:pPr>
        <w:pStyle w:val="PSANormalFormal"/>
        <w:numPr>
          <w:ilvl w:val="0"/>
          <w:numId w:val="11"/>
        </w:numPr>
      </w:pPr>
      <w:r w:rsidRPr="001F3057">
        <w:t>Paragraph 4.2.3/4.2.5 – Failure to provide information</w:t>
      </w:r>
    </w:p>
    <w:p w14:paraId="56A0A811" w14:textId="60441339" w:rsidR="00DC360D" w:rsidRDefault="0072620B" w:rsidP="00DC360D">
      <w:pPr>
        <w:pStyle w:val="PSANormalFormal"/>
        <w:numPr>
          <w:ilvl w:val="0"/>
          <w:numId w:val="11"/>
        </w:numPr>
      </w:pPr>
      <w:r w:rsidRPr="001F3057">
        <w:t>Paragraph 3.1.7 – Inadequate technical quality</w:t>
      </w:r>
    </w:p>
    <w:p w14:paraId="2EA250DE" w14:textId="48EC53BB" w:rsidR="001F3057" w:rsidRDefault="001F3057" w:rsidP="001F3057">
      <w:pPr>
        <w:pStyle w:val="PSANormalFormal"/>
        <w:ind w:left="720"/>
      </w:pPr>
    </w:p>
    <w:p w14:paraId="2D550B45" w14:textId="329E23D8" w:rsidR="001F3057" w:rsidRDefault="001F3057" w:rsidP="001F3057">
      <w:pPr>
        <w:pStyle w:val="PSANormalFormal"/>
        <w:ind w:left="720"/>
      </w:pPr>
    </w:p>
    <w:p w14:paraId="77D1DDC5" w14:textId="77777777" w:rsidR="001F3057" w:rsidRPr="001F3057" w:rsidRDefault="001F3057" w:rsidP="001F3057">
      <w:pPr>
        <w:pStyle w:val="PSANormalFormal"/>
        <w:ind w:left="720"/>
      </w:pPr>
    </w:p>
    <w:p w14:paraId="6C5C78F4" w14:textId="77777777" w:rsidR="0072620B" w:rsidRPr="001F3057" w:rsidRDefault="0072620B" w:rsidP="0043113B">
      <w:pPr>
        <w:pStyle w:val="PSANormalFormal"/>
        <w:ind w:left="360"/>
        <w:rPr>
          <w:color w:val="002060"/>
        </w:rPr>
      </w:pPr>
      <w:r w:rsidRPr="001F3057">
        <w:rPr>
          <w:color w:val="002060"/>
        </w:rPr>
        <w:lastRenderedPageBreak/>
        <w:t>The overall assessment of the case was ‘very serious’ and the following sanctions were imposed:</w:t>
      </w:r>
    </w:p>
    <w:p w14:paraId="32990E3F" w14:textId="77777777" w:rsidR="0072620B" w:rsidRPr="001F3057" w:rsidRDefault="0072620B" w:rsidP="00B37DBD">
      <w:pPr>
        <w:pStyle w:val="PSANormalInternalDocs"/>
        <w:rPr>
          <w:color w:val="002060"/>
        </w:rPr>
      </w:pPr>
    </w:p>
    <w:p w14:paraId="34C4460D" w14:textId="5B7F08F7" w:rsidR="0072620B" w:rsidRPr="001F3057" w:rsidRDefault="00AE6FBA" w:rsidP="00B37DBD">
      <w:pPr>
        <w:pStyle w:val="PSANormalInternalDocs"/>
        <w:numPr>
          <w:ilvl w:val="0"/>
          <w:numId w:val="7"/>
        </w:numPr>
        <w:rPr>
          <w:color w:val="002060"/>
        </w:rPr>
      </w:pPr>
      <w:r>
        <w:rPr>
          <w:color w:val="002060"/>
        </w:rPr>
        <w:t>a</w:t>
      </w:r>
      <w:r w:rsidR="0072620B" w:rsidRPr="001F3057">
        <w:rPr>
          <w:color w:val="002060"/>
        </w:rPr>
        <w:t xml:space="preserve"> formal reprimand</w:t>
      </w:r>
    </w:p>
    <w:p w14:paraId="68C03F48" w14:textId="6EEDDB78" w:rsidR="0072620B" w:rsidRPr="001F3057" w:rsidRDefault="00AE6FBA" w:rsidP="00B37DBD">
      <w:pPr>
        <w:pStyle w:val="PSANormalInternalDocs"/>
        <w:numPr>
          <w:ilvl w:val="0"/>
          <w:numId w:val="7"/>
        </w:numPr>
        <w:rPr>
          <w:color w:val="002060"/>
        </w:rPr>
      </w:pPr>
      <w:r>
        <w:rPr>
          <w:color w:val="002060"/>
        </w:rPr>
        <w:t>a</w:t>
      </w:r>
      <w:r w:rsidR="0072620B" w:rsidRPr="001F3057">
        <w:rPr>
          <w:color w:val="002060"/>
        </w:rPr>
        <w:t xml:space="preserve"> total fine of £650,000</w:t>
      </w:r>
    </w:p>
    <w:p w14:paraId="634B5EA0" w14:textId="2607B27A" w:rsidR="00AE6FBA" w:rsidRPr="00AE6FBA" w:rsidRDefault="00AE6FBA" w:rsidP="00B37DBD">
      <w:pPr>
        <w:pStyle w:val="PSANormalInternalDocs"/>
        <w:numPr>
          <w:ilvl w:val="0"/>
          <w:numId w:val="7"/>
        </w:numPr>
        <w:rPr>
          <w:color w:val="002060"/>
        </w:rPr>
      </w:pPr>
      <w:r>
        <w:rPr>
          <w:rFonts w:eastAsiaTheme="minorHAnsi"/>
          <w:color w:val="002060"/>
        </w:rPr>
        <w:t>a</w:t>
      </w:r>
      <w:r w:rsidR="0072620B" w:rsidRPr="001F3057">
        <w:rPr>
          <w:rFonts w:eastAsiaTheme="minorHAnsi" w:cs="Lato-Regular"/>
          <w:color w:val="002060"/>
        </w:rPr>
        <w:t xml:space="preserve"> requirement that the Level 2 provider remedy the breach by ensuring that it has robust verification of each consumer’s consent to be charged before making any further charge to the consumer, including for existing subscribers to the Service</w:t>
      </w:r>
    </w:p>
    <w:p w14:paraId="32488FD7" w14:textId="5D7A0B92" w:rsidR="0072620B" w:rsidRPr="001F3057" w:rsidRDefault="0072620B" w:rsidP="00B37DBD">
      <w:pPr>
        <w:pStyle w:val="PSANormalInternalDocs"/>
        <w:numPr>
          <w:ilvl w:val="0"/>
          <w:numId w:val="7"/>
        </w:numPr>
        <w:rPr>
          <w:color w:val="002060"/>
        </w:rPr>
      </w:pPr>
      <w:r w:rsidRPr="001F3057">
        <w:rPr>
          <w:rFonts w:eastAsiaTheme="minorHAnsi" w:cs="Lato-Regular"/>
          <w:color w:val="002060"/>
        </w:rPr>
        <w:t>and that the Level 2 provider take all reasonable steps to ensure that message failures are rectified promptly</w:t>
      </w:r>
    </w:p>
    <w:p w14:paraId="24C2E70D" w14:textId="6B92C1B2" w:rsidR="0072620B" w:rsidRPr="001F3057" w:rsidRDefault="00AE6FBA" w:rsidP="00B37DBD">
      <w:pPr>
        <w:pStyle w:val="PSANormalInternalDocs"/>
        <w:numPr>
          <w:ilvl w:val="0"/>
          <w:numId w:val="7"/>
        </w:numPr>
        <w:rPr>
          <w:color w:val="002060"/>
        </w:rPr>
      </w:pPr>
      <w:r>
        <w:rPr>
          <w:rFonts w:eastAsiaTheme="minorHAnsi"/>
          <w:color w:val="002060"/>
        </w:rPr>
        <w:t>a</w:t>
      </w:r>
      <w:r w:rsidR="0072620B" w:rsidRPr="001F3057">
        <w:rPr>
          <w:rFonts w:eastAsiaTheme="minorHAnsi" w:cs="Lato-Regular"/>
          <w:color w:val="002060"/>
        </w:rPr>
        <w:t xml:space="preserve"> bar on access to all number ranges associated with the Services which the Level 2 provider currently operates until it has sought and implemented:</w:t>
      </w:r>
    </w:p>
    <w:p w14:paraId="64269D2F" w14:textId="274998AE" w:rsidR="0072620B" w:rsidRPr="001F3057" w:rsidRDefault="00AE6FBA" w:rsidP="00B37DBD">
      <w:pPr>
        <w:pStyle w:val="PSANormalInternalDocs"/>
        <w:numPr>
          <w:ilvl w:val="0"/>
          <w:numId w:val="7"/>
        </w:numPr>
        <w:rPr>
          <w:color w:val="002060"/>
        </w:rPr>
      </w:pPr>
      <w:r>
        <w:rPr>
          <w:color w:val="002060"/>
        </w:rPr>
        <w:t>c</w:t>
      </w:r>
      <w:r w:rsidR="0072620B" w:rsidRPr="001F3057">
        <w:rPr>
          <w:color w:val="002060"/>
        </w:rPr>
        <w:t>ompliance advise on Consent to Charge</w:t>
      </w:r>
    </w:p>
    <w:p w14:paraId="38690E82" w14:textId="51C95EC7" w:rsidR="0072620B" w:rsidRPr="001F3057" w:rsidRDefault="00AE6FBA" w:rsidP="00B37DBD">
      <w:pPr>
        <w:pStyle w:val="PSANormalInternalDocs"/>
        <w:numPr>
          <w:ilvl w:val="0"/>
          <w:numId w:val="7"/>
        </w:numPr>
        <w:rPr>
          <w:color w:val="002060"/>
        </w:rPr>
      </w:pPr>
      <w:r>
        <w:rPr>
          <w:color w:val="002060"/>
        </w:rPr>
        <w:t>r</w:t>
      </w:r>
      <w:r w:rsidR="0072620B" w:rsidRPr="001F3057">
        <w:rPr>
          <w:color w:val="002060"/>
        </w:rPr>
        <w:t>emedied the breaches as required by the sanctions</w:t>
      </w:r>
    </w:p>
    <w:p w14:paraId="315E636D" w14:textId="54B1DBF8" w:rsidR="0072620B" w:rsidRPr="001F3057" w:rsidRDefault="00AE6FBA" w:rsidP="00B37DBD">
      <w:pPr>
        <w:pStyle w:val="PSANormalInternalDocs"/>
        <w:numPr>
          <w:ilvl w:val="0"/>
          <w:numId w:val="7"/>
        </w:numPr>
        <w:rPr>
          <w:rFonts w:eastAsiaTheme="minorHAnsi" w:cs="Lato-Regular"/>
          <w:color w:val="002060"/>
        </w:rPr>
      </w:pPr>
      <w:r>
        <w:rPr>
          <w:rFonts w:eastAsiaTheme="minorHAnsi"/>
          <w:color w:val="002060"/>
        </w:rPr>
        <w:t>a</w:t>
      </w:r>
      <w:r w:rsidR="0072620B" w:rsidRPr="001F3057">
        <w:rPr>
          <w:rFonts w:eastAsiaTheme="minorHAnsi" w:cs="Lato-Regular"/>
          <w:color w:val="002060"/>
        </w:rPr>
        <w:t xml:space="preserve"> requirement that the Level 2 provider must refund all complainants who claim a refund, within 28 days, for the full amount spent by them on the Service, save where there is good cause to believe that such claims are not valid, and provide evidence to the PSA that such refunds have been made</w:t>
      </w:r>
      <w:r w:rsidR="0040221A" w:rsidRPr="001F3057">
        <w:rPr>
          <w:rFonts w:eastAsiaTheme="minorHAnsi" w:cs="Lato-Regular"/>
          <w:color w:val="002060"/>
        </w:rPr>
        <w:t>.</w:t>
      </w:r>
    </w:p>
    <w:p w14:paraId="0D190A0B" w14:textId="77777777" w:rsidR="004F4A81" w:rsidRPr="001F3057" w:rsidRDefault="004F4A81" w:rsidP="0043113B">
      <w:pPr>
        <w:pStyle w:val="PSANormalFormal"/>
      </w:pPr>
    </w:p>
    <w:p w14:paraId="14A2F960" w14:textId="326EE02D" w:rsidR="0072620B" w:rsidRPr="001F3057" w:rsidRDefault="0072620B" w:rsidP="0043113B">
      <w:pPr>
        <w:pStyle w:val="PSANormalFormal"/>
        <w:ind w:left="720"/>
      </w:pPr>
      <w:r w:rsidRPr="001F3057">
        <w:t xml:space="preserve">On 24 February 2017 an informal notification of the Tribunal outcome was sent to the Level 2 provider. The Executive received no response to the informal notification. </w:t>
      </w:r>
    </w:p>
    <w:p w14:paraId="4B45A640" w14:textId="77777777" w:rsidR="0072620B" w:rsidRPr="001F3057" w:rsidRDefault="0072620B" w:rsidP="0043113B">
      <w:pPr>
        <w:pStyle w:val="PSANormalFormal"/>
        <w:ind w:left="720"/>
      </w:pPr>
    </w:p>
    <w:p w14:paraId="4A07BEF0" w14:textId="77777777" w:rsidR="0072620B" w:rsidRPr="001F3057" w:rsidRDefault="0072620B" w:rsidP="0043113B">
      <w:pPr>
        <w:pStyle w:val="PSANormalFormal"/>
        <w:ind w:left="720"/>
      </w:pPr>
      <w:r w:rsidRPr="001F3057">
        <w:t xml:space="preserve">Shortly after the Tribunal hearing it became apparent that the Level 2 provider had failed to regularly update the Companies House register and </w:t>
      </w:r>
      <w:r w:rsidR="005B1FAE" w:rsidRPr="001F3057">
        <w:t xml:space="preserve">as a result was </w:t>
      </w:r>
      <w:r w:rsidR="001A6F00" w:rsidRPr="001F3057">
        <w:t xml:space="preserve"> </w:t>
      </w:r>
      <w:r w:rsidRPr="001F3057">
        <w:t xml:space="preserve"> compulsorily struck off from the register and dissolved on 27 December 2016. The Executive began proceedings to resurrect and restore the company in order to complete its regulatory process. </w:t>
      </w:r>
    </w:p>
    <w:p w14:paraId="2634E74A" w14:textId="77777777" w:rsidR="0072620B" w:rsidRPr="001F3057" w:rsidRDefault="0072620B" w:rsidP="0043113B">
      <w:pPr>
        <w:pStyle w:val="PSANormalFormal"/>
        <w:ind w:left="720"/>
      </w:pPr>
    </w:p>
    <w:p w14:paraId="5699BD26" w14:textId="77777777" w:rsidR="0072620B" w:rsidRPr="001F3057" w:rsidRDefault="0072620B" w:rsidP="0043113B">
      <w:pPr>
        <w:pStyle w:val="PSANormalFormal"/>
        <w:ind w:left="720"/>
      </w:pPr>
      <w:r w:rsidRPr="001F3057">
        <w:t>On 31 October 2017, the restoration process was completed</w:t>
      </w:r>
      <w:r w:rsidR="0040221A" w:rsidRPr="001F3057">
        <w:t>.</w:t>
      </w:r>
    </w:p>
    <w:p w14:paraId="62FA4EA4" w14:textId="77777777" w:rsidR="0072620B" w:rsidRPr="001F3057" w:rsidRDefault="0072620B" w:rsidP="0043113B">
      <w:pPr>
        <w:pStyle w:val="PSANormalFormal"/>
        <w:ind w:left="720"/>
      </w:pPr>
    </w:p>
    <w:p w14:paraId="37A7E2BD" w14:textId="6A2549AA" w:rsidR="0072620B" w:rsidRPr="001F3057" w:rsidRDefault="0072620B" w:rsidP="0043113B">
      <w:pPr>
        <w:pStyle w:val="PSANormalFormal"/>
        <w:ind w:left="720"/>
      </w:pPr>
      <w:r w:rsidRPr="001F3057">
        <w:t>On 24 January 2018, a formal notification of the Tribunal outcome was sent to the Level 2 provider by email and post, which included a copy of the adjudication report to be published on the PSA’s website, a consumer contact details form to be completed by the Level 2 provider and an invoice for the fine and administrative charges with a deadline of 5pm on 2 February 2018 for payment</w:t>
      </w:r>
      <w:r w:rsidR="00102E09">
        <w:t xml:space="preserve">. </w:t>
      </w:r>
      <w:r w:rsidRPr="001F3057">
        <w:t>The Level 2 provider did not respond to the formal notification.</w:t>
      </w:r>
    </w:p>
    <w:p w14:paraId="3EB23B7C" w14:textId="77777777" w:rsidR="0072620B" w:rsidRPr="001F3057" w:rsidRDefault="0072620B" w:rsidP="0043113B">
      <w:pPr>
        <w:pStyle w:val="PSANormalFormal"/>
        <w:ind w:left="720"/>
      </w:pPr>
    </w:p>
    <w:p w14:paraId="56A0E12F" w14:textId="77777777" w:rsidR="0072620B" w:rsidRPr="001F3057" w:rsidRDefault="0072620B" w:rsidP="0043113B">
      <w:pPr>
        <w:pStyle w:val="PSANormalFormal"/>
        <w:ind w:left="720"/>
      </w:pPr>
      <w:r w:rsidRPr="001F3057">
        <w:t>The Executive was informed by UPS recorded delivery, when attempting to deliver the Tribunal outcome by post, that:</w:t>
      </w:r>
    </w:p>
    <w:p w14:paraId="74EB9972" w14:textId="77777777" w:rsidR="0072620B" w:rsidRPr="001F3057" w:rsidRDefault="0072620B" w:rsidP="0043113B">
      <w:pPr>
        <w:pStyle w:val="PSANormalFormal"/>
        <w:ind w:left="720"/>
      </w:pPr>
    </w:p>
    <w:p w14:paraId="0D6A8E4C" w14:textId="77777777" w:rsidR="0072620B" w:rsidRPr="001F3057" w:rsidRDefault="0072620B" w:rsidP="0043113B">
      <w:pPr>
        <w:pStyle w:val="PSANormalFormal"/>
        <w:ind w:left="720"/>
        <w:rPr>
          <w:i/>
          <w:color w:val="auto"/>
        </w:rPr>
      </w:pPr>
      <w:r w:rsidRPr="001F3057">
        <w:rPr>
          <w:i/>
        </w:rPr>
        <w:t>“The receiver has moved. We're attempting to obtain a new delivery address for this receiver.”</w:t>
      </w:r>
    </w:p>
    <w:p w14:paraId="4BE1B208" w14:textId="77777777" w:rsidR="0072620B" w:rsidRPr="008405E8" w:rsidRDefault="0072620B" w:rsidP="0043113B">
      <w:pPr>
        <w:pStyle w:val="PSANormalFormal"/>
        <w:ind w:left="720"/>
        <w:rPr>
          <w:color w:val="002060"/>
        </w:rPr>
      </w:pPr>
    </w:p>
    <w:p w14:paraId="2C77AE21" w14:textId="77777777" w:rsidR="0072620B" w:rsidRPr="008405E8" w:rsidRDefault="0072620B" w:rsidP="0043113B">
      <w:pPr>
        <w:pStyle w:val="PSANormalFormal"/>
        <w:ind w:left="720"/>
        <w:rPr>
          <w:color w:val="002060"/>
        </w:rPr>
      </w:pPr>
      <w:r w:rsidRPr="008405E8">
        <w:rPr>
          <w:color w:val="002060"/>
        </w:rPr>
        <w:t>Subsequently, the posted Tribunal outcome was returned as undeliverable.</w:t>
      </w:r>
    </w:p>
    <w:p w14:paraId="065FFDEF" w14:textId="77777777" w:rsidR="0072620B" w:rsidRPr="001F3057" w:rsidRDefault="0072620B" w:rsidP="0043113B">
      <w:pPr>
        <w:pStyle w:val="PSANormalFormal"/>
        <w:ind w:left="720"/>
      </w:pPr>
    </w:p>
    <w:p w14:paraId="2B9D7A6A" w14:textId="77777777" w:rsidR="0072620B" w:rsidRPr="001F3057" w:rsidRDefault="0072620B" w:rsidP="0043113B">
      <w:pPr>
        <w:pStyle w:val="PSANormalFormal"/>
        <w:ind w:left="720"/>
        <w:rPr>
          <w:color w:val="auto"/>
        </w:rPr>
      </w:pPr>
      <w:r w:rsidRPr="001F3057">
        <w:t xml:space="preserve">The Executive noted that these contact details had been used throughout the investigation, and leading up to the Tribunal, to communicate with the Level 2 provider. </w:t>
      </w:r>
    </w:p>
    <w:p w14:paraId="536DFE03" w14:textId="77777777" w:rsidR="0072620B" w:rsidRPr="001F3057" w:rsidRDefault="0072620B" w:rsidP="0043113B">
      <w:pPr>
        <w:pStyle w:val="PSANormalFormal"/>
        <w:ind w:left="720"/>
      </w:pPr>
    </w:p>
    <w:p w14:paraId="3DB69A33" w14:textId="77777777" w:rsidR="0072620B" w:rsidRPr="001F3057" w:rsidRDefault="0072620B" w:rsidP="0043113B">
      <w:pPr>
        <w:pStyle w:val="PSANormalFormal"/>
        <w:ind w:left="720"/>
      </w:pPr>
      <w:r w:rsidRPr="001F3057">
        <w:t xml:space="preserve">During the original </w:t>
      </w:r>
      <w:r w:rsidR="00BC590C" w:rsidRPr="001F3057">
        <w:t>investigation</w:t>
      </w:r>
      <w:r w:rsidRPr="001F3057">
        <w:t>, the Tribunal had imposed a withhold</w:t>
      </w:r>
      <w:r w:rsidR="00BC590C" w:rsidRPr="001F3057">
        <w:t xml:space="preserve"> of service revenue</w:t>
      </w:r>
      <w:r w:rsidRPr="001F3057">
        <w:t xml:space="preserve">. </w:t>
      </w:r>
      <w:proofErr w:type="spellStart"/>
      <w:r w:rsidRPr="001F3057">
        <w:t>Zamano</w:t>
      </w:r>
      <w:proofErr w:type="spellEnd"/>
      <w:r w:rsidRPr="001F3057">
        <w:t xml:space="preserve"> was directed to withhold revenues of up to £197,400.00 and </w:t>
      </w:r>
      <w:proofErr w:type="spellStart"/>
      <w:r w:rsidRPr="001F3057">
        <w:t>Veoo</w:t>
      </w:r>
      <w:proofErr w:type="spellEnd"/>
      <w:r w:rsidRPr="001F3057">
        <w:t xml:space="preserve"> was directed to withhold revenues of up to £84,600.00. </w:t>
      </w:r>
    </w:p>
    <w:p w14:paraId="21465997" w14:textId="77777777" w:rsidR="0072620B" w:rsidRPr="001F3057" w:rsidRDefault="0072620B" w:rsidP="0043113B">
      <w:pPr>
        <w:pStyle w:val="PSANormalFormal"/>
        <w:ind w:left="720"/>
      </w:pPr>
    </w:p>
    <w:p w14:paraId="22E7BF23" w14:textId="77777777" w:rsidR="0072620B" w:rsidRPr="001F3057" w:rsidRDefault="0072620B" w:rsidP="0043113B">
      <w:pPr>
        <w:pStyle w:val="PSANormalFormal"/>
        <w:ind w:left="720"/>
      </w:pPr>
      <w:r w:rsidRPr="001F3057">
        <w:lastRenderedPageBreak/>
        <w:t xml:space="preserve">On 12 January 2018 the Executive directed the </w:t>
      </w:r>
      <w:proofErr w:type="spellStart"/>
      <w:r w:rsidRPr="001F3057">
        <w:t>Veoo</w:t>
      </w:r>
      <w:proofErr w:type="spellEnd"/>
      <w:r w:rsidRPr="001F3057">
        <w:t xml:space="preserve"> to release the withheld monies as payment towards the outstanding fine and administrative charge. A payment of £60,898.93 was received from </w:t>
      </w:r>
      <w:proofErr w:type="spellStart"/>
      <w:r w:rsidRPr="001F3057">
        <w:t>Veoo</w:t>
      </w:r>
      <w:proofErr w:type="spellEnd"/>
      <w:r w:rsidRPr="001F3057">
        <w:t>.</w:t>
      </w:r>
    </w:p>
    <w:p w14:paraId="2F9C6DEB" w14:textId="77777777" w:rsidR="0072620B" w:rsidRPr="001F3057" w:rsidRDefault="0072620B" w:rsidP="0043113B">
      <w:pPr>
        <w:pStyle w:val="PSANormalFormal"/>
      </w:pPr>
    </w:p>
    <w:p w14:paraId="1F319FCC" w14:textId="77777777" w:rsidR="0072620B" w:rsidRPr="001F3057" w:rsidRDefault="0072620B" w:rsidP="0043113B">
      <w:pPr>
        <w:pStyle w:val="PSANormalFormal"/>
        <w:ind w:left="720"/>
      </w:pPr>
      <w:r w:rsidRPr="001F3057">
        <w:t xml:space="preserve">On 13 February 2018, the Executive directed </w:t>
      </w:r>
      <w:proofErr w:type="spellStart"/>
      <w:r w:rsidRPr="001F3057">
        <w:t>Zamano</w:t>
      </w:r>
      <w:proofErr w:type="spellEnd"/>
      <w:r w:rsidRPr="001F3057">
        <w:t xml:space="preserve"> to release the withheld monies. The Executive confirmed receipt of £197,400.00 from </w:t>
      </w:r>
      <w:proofErr w:type="spellStart"/>
      <w:r w:rsidRPr="001F3057">
        <w:t>Zamano</w:t>
      </w:r>
      <w:proofErr w:type="spellEnd"/>
      <w:r w:rsidRPr="001F3057">
        <w:t xml:space="preserve">. </w:t>
      </w:r>
    </w:p>
    <w:p w14:paraId="4DCC1D44" w14:textId="77777777" w:rsidR="0072620B" w:rsidRPr="001F3057" w:rsidRDefault="0072620B" w:rsidP="0043113B">
      <w:pPr>
        <w:pStyle w:val="PSANormalFormal"/>
        <w:ind w:left="720"/>
      </w:pPr>
    </w:p>
    <w:p w14:paraId="2A8B9079" w14:textId="14540E52" w:rsidR="0072620B" w:rsidRPr="001F3057" w:rsidRDefault="0072620B" w:rsidP="0043113B">
      <w:pPr>
        <w:pStyle w:val="PSANormalFormal"/>
        <w:ind w:left="720"/>
      </w:pPr>
      <w:r w:rsidRPr="001F3057">
        <w:t>As a result, the administrative charge was paid</w:t>
      </w:r>
      <w:r w:rsidR="004F4A81" w:rsidRPr="001F3057">
        <w:t>,</w:t>
      </w:r>
      <w:r w:rsidRPr="001F3057">
        <w:t xml:space="preserve"> in full</w:t>
      </w:r>
      <w:r w:rsidR="004F4A81" w:rsidRPr="001F3057">
        <w:t>,</w:t>
      </w:r>
      <w:r w:rsidR="00A65CA3" w:rsidRPr="001F3057">
        <w:t xml:space="preserve"> from the withheld revenue</w:t>
      </w:r>
      <w:r w:rsidR="00102E09">
        <w:t xml:space="preserve">. </w:t>
      </w:r>
      <w:r w:rsidRPr="001F3057">
        <w:t>£404,217.07 of the fine remain</w:t>
      </w:r>
      <w:r w:rsidR="00A65CA3" w:rsidRPr="001F3057">
        <w:t>ed</w:t>
      </w:r>
      <w:r w:rsidRPr="001F3057">
        <w:t xml:space="preserve"> outstanding.</w:t>
      </w:r>
    </w:p>
    <w:p w14:paraId="47323278" w14:textId="77777777" w:rsidR="0072620B" w:rsidRPr="001F3057" w:rsidRDefault="0072620B" w:rsidP="0043113B">
      <w:pPr>
        <w:pStyle w:val="PSANormalFormal"/>
        <w:ind w:left="720"/>
      </w:pPr>
    </w:p>
    <w:p w14:paraId="4E83DD00" w14:textId="2F928184" w:rsidR="0072620B" w:rsidRPr="001F3057" w:rsidRDefault="0072620B" w:rsidP="0043113B">
      <w:pPr>
        <w:pStyle w:val="PSANormalFormal"/>
        <w:ind w:left="720"/>
      </w:pPr>
      <w:r w:rsidRPr="001F3057">
        <w:t xml:space="preserve">On 23 February 2018, a payment reminder was sent to the Level 2 provider with copies of the fine invoice and the total outstanding balance. An extended deadline of a further 2 working days </w:t>
      </w:r>
      <w:r w:rsidR="00B75E68" w:rsidRPr="001F3057">
        <w:t xml:space="preserve">for payment </w:t>
      </w:r>
      <w:r w:rsidRPr="001F3057">
        <w:t>was given</w:t>
      </w:r>
      <w:r w:rsidR="00B75E68" w:rsidRPr="001F3057">
        <w:t>. T</w:t>
      </w:r>
      <w:r w:rsidRPr="001F3057">
        <w:t xml:space="preserve">he Level 2 provider did not respond to the Executive. The Executive ensured </w:t>
      </w:r>
      <w:r w:rsidR="006857F1" w:rsidRPr="001F3057">
        <w:t xml:space="preserve">that </w:t>
      </w:r>
      <w:r w:rsidRPr="001F3057">
        <w:t>read receipt and delivery report</w:t>
      </w:r>
      <w:r w:rsidR="006857F1" w:rsidRPr="001F3057">
        <w:t xml:space="preserve"> requests</w:t>
      </w:r>
      <w:r w:rsidRPr="001F3057">
        <w:t xml:space="preserve"> were sent with the reminder. A delivery receipt was </w:t>
      </w:r>
      <w:r w:rsidR="006138FF" w:rsidRPr="001F3057">
        <w:t>received;</w:t>
      </w:r>
      <w:r w:rsidRPr="001F3057">
        <w:t xml:space="preserve"> however no read receipt was sent back from the Level 2 provider. No further communication ha</w:t>
      </w:r>
      <w:r w:rsidR="006857F1" w:rsidRPr="001F3057">
        <w:t>d</w:t>
      </w:r>
      <w:r w:rsidRPr="001F3057">
        <w:t xml:space="preserve"> been received from the </w:t>
      </w:r>
      <w:r w:rsidR="00435CF9" w:rsidRPr="001F3057">
        <w:t>Level 2 provider and the outstanding fine amount was £404,217.07</w:t>
      </w:r>
      <w:r w:rsidR="00AE6FBA">
        <w:t>.</w:t>
      </w:r>
    </w:p>
    <w:p w14:paraId="33C23220" w14:textId="77777777" w:rsidR="0072620B" w:rsidRPr="001F3057" w:rsidRDefault="0072620B" w:rsidP="0043113B">
      <w:pPr>
        <w:pStyle w:val="PSANormalFormal"/>
        <w:ind w:left="720"/>
      </w:pPr>
    </w:p>
    <w:p w14:paraId="5E800460" w14:textId="30FDCAC1" w:rsidR="0072620B" w:rsidRPr="001F3057" w:rsidRDefault="0092372F" w:rsidP="0043113B">
      <w:pPr>
        <w:pStyle w:val="PSANormalFormal"/>
        <w:ind w:left="720"/>
        <w:rPr>
          <w:highlight w:val="yellow"/>
        </w:rPr>
      </w:pPr>
      <w:r w:rsidRPr="001F3057">
        <w:t xml:space="preserve">In respect of the remaining sanctions imposed by the original Tribunal, the </w:t>
      </w:r>
      <w:r w:rsidR="00E52200" w:rsidRPr="001F3057">
        <w:t>Executive confirmed it did not hold evidence to indicate</w:t>
      </w:r>
      <w:r w:rsidR="0072620B" w:rsidRPr="001F3057">
        <w:t xml:space="preserve"> that the Level 2 provider ha</w:t>
      </w:r>
      <w:r w:rsidR="00E52200" w:rsidRPr="001F3057">
        <w:t>d</w:t>
      </w:r>
      <w:r w:rsidR="0072620B" w:rsidRPr="001F3057">
        <w:t xml:space="preserve"> attempted to remedy the breach. </w:t>
      </w:r>
      <w:r w:rsidR="004E3ED9" w:rsidRPr="001F3057">
        <w:t xml:space="preserve">However, </w:t>
      </w:r>
      <w:r w:rsidR="0072620B" w:rsidRPr="001F3057">
        <w:t xml:space="preserve">the last Service transaction </w:t>
      </w:r>
      <w:r w:rsidR="004E3ED9" w:rsidRPr="001F3057">
        <w:t xml:space="preserve">had </w:t>
      </w:r>
      <w:r w:rsidR="0072620B" w:rsidRPr="001F3057">
        <w:t>occurred on 22 December 2016</w:t>
      </w:r>
      <w:r w:rsidR="004E3ED9" w:rsidRPr="001F3057">
        <w:t xml:space="preserve"> and </w:t>
      </w:r>
      <w:r w:rsidR="0072620B" w:rsidRPr="001F3057">
        <w:t>the Level 2 provider ha</w:t>
      </w:r>
      <w:r w:rsidR="004E3ED9" w:rsidRPr="001F3057">
        <w:t>d subsequently</w:t>
      </w:r>
      <w:r w:rsidR="0072620B" w:rsidRPr="001F3057">
        <w:t xml:space="preserve"> dissolved and </w:t>
      </w:r>
      <w:r w:rsidR="004E3ED9" w:rsidRPr="001F3057">
        <w:t>was</w:t>
      </w:r>
      <w:r w:rsidR="0072620B" w:rsidRPr="001F3057">
        <w:t xml:space="preserve"> no longer operating the business</w:t>
      </w:r>
      <w:r w:rsidR="005F795C" w:rsidRPr="001F3057">
        <w:t>. For these reasons,</w:t>
      </w:r>
      <w:r w:rsidR="0072620B" w:rsidRPr="001F3057">
        <w:t xml:space="preserve"> the Executive</w:t>
      </w:r>
      <w:r w:rsidR="005F795C" w:rsidRPr="001F3057">
        <w:t>’s</w:t>
      </w:r>
      <w:r w:rsidR="0072620B" w:rsidRPr="001F3057">
        <w:t xml:space="preserve"> view </w:t>
      </w:r>
      <w:r w:rsidR="005F795C" w:rsidRPr="001F3057">
        <w:t xml:space="preserve">was </w:t>
      </w:r>
      <w:r w:rsidR="0072620B" w:rsidRPr="001F3057">
        <w:t>that the risk of harm ha</w:t>
      </w:r>
      <w:r w:rsidR="005F795C" w:rsidRPr="001F3057">
        <w:t>d</w:t>
      </w:r>
      <w:r w:rsidR="0072620B" w:rsidRPr="001F3057">
        <w:t xml:space="preserve"> ceased</w:t>
      </w:r>
      <w:r w:rsidR="00787F55" w:rsidRPr="001F3057">
        <w:t>,</w:t>
      </w:r>
      <w:r w:rsidR="005F795C" w:rsidRPr="001F3057">
        <w:t xml:space="preserve"> and it </w:t>
      </w:r>
      <w:r w:rsidR="00D60224" w:rsidRPr="001F3057">
        <w:t>therefore did</w:t>
      </w:r>
      <w:r w:rsidR="0072620B" w:rsidRPr="001F3057">
        <w:t xml:space="preserve"> not raise a breach of 4.8.6(b) for failure to comply with the remedy the breach sanction.</w:t>
      </w:r>
    </w:p>
    <w:p w14:paraId="7034CB29" w14:textId="77777777" w:rsidR="0072620B" w:rsidRPr="001F3057" w:rsidRDefault="0072620B" w:rsidP="0043113B">
      <w:pPr>
        <w:pStyle w:val="PSANormalFormal"/>
        <w:ind w:left="720"/>
        <w:rPr>
          <w:u w:val="single"/>
        </w:rPr>
      </w:pPr>
    </w:p>
    <w:p w14:paraId="504B6B09" w14:textId="543D8A8A" w:rsidR="0072620B" w:rsidRPr="001F3057" w:rsidRDefault="00C036D6" w:rsidP="0043113B">
      <w:pPr>
        <w:pStyle w:val="PSANormalFormal"/>
        <w:ind w:left="720"/>
      </w:pPr>
      <w:r w:rsidRPr="001F3057">
        <w:t xml:space="preserve">In respect of the Service Bar sanction, </w:t>
      </w:r>
      <w:r w:rsidR="00520271" w:rsidRPr="001F3057">
        <w:t xml:space="preserve">the Executive noted that </w:t>
      </w:r>
      <w:r w:rsidR="0072620B" w:rsidRPr="001F3057">
        <w:t xml:space="preserve">the Level 2 provider </w:t>
      </w:r>
      <w:r w:rsidR="00520271" w:rsidRPr="001F3057">
        <w:t>wa</w:t>
      </w:r>
      <w:r w:rsidR="0072620B" w:rsidRPr="001F3057">
        <w:t>s no longer operating and ha</w:t>
      </w:r>
      <w:r w:rsidR="00520271" w:rsidRPr="001F3057">
        <w:t>d therefore</w:t>
      </w:r>
      <w:r w:rsidR="0072620B" w:rsidRPr="001F3057">
        <w:t xml:space="preserve"> made no attempts to seek compliance advice or remedy the breach with the intention to return to the market</w:t>
      </w:r>
      <w:r w:rsidR="00B51EDA" w:rsidRPr="001F3057">
        <w:t>. T</w:t>
      </w:r>
      <w:r w:rsidR="0072620B" w:rsidRPr="001F3057">
        <w:t xml:space="preserve">he Services </w:t>
      </w:r>
      <w:r w:rsidR="00B51EDA" w:rsidRPr="001F3057">
        <w:t xml:space="preserve">would </w:t>
      </w:r>
      <w:r w:rsidR="0072620B" w:rsidRPr="001F3057">
        <w:t xml:space="preserve">remain barred until </w:t>
      </w:r>
      <w:r w:rsidR="00B51EDA" w:rsidRPr="001F3057">
        <w:t xml:space="preserve">such as </w:t>
      </w:r>
      <w:r w:rsidR="0072620B" w:rsidRPr="001F3057">
        <w:t xml:space="preserve">the sanction </w:t>
      </w:r>
      <w:r w:rsidR="00B51EDA" w:rsidRPr="001F3057">
        <w:t>w</w:t>
      </w:r>
      <w:r w:rsidR="0072620B" w:rsidRPr="001F3057">
        <w:t xml:space="preserve">as complied with. </w:t>
      </w:r>
    </w:p>
    <w:p w14:paraId="78561E9E" w14:textId="77777777" w:rsidR="0072620B" w:rsidRPr="001F3057" w:rsidRDefault="0072620B" w:rsidP="0043113B">
      <w:pPr>
        <w:pStyle w:val="PSANormalFormal"/>
        <w:ind w:left="720"/>
      </w:pPr>
    </w:p>
    <w:p w14:paraId="1AE19840" w14:textId="77777777" w:rsidR="0072620B" w:rsidRPr="001F3057" w:rsidRDefault="002579C2" w:rsidP="0043113B">
      <w:pPr>
        <w:pStyle w:val="PSANormalFormal"/>
        <w:ind w:left="720"/>
      </w:pPr>
      <w:r w:rsidRPr="001F3057">
        <w:t>In respect of the</w:t>
      </w:r>
      <w:r w:rsidR="00062C84" w:rsidRPr="001F3057">
        <w:t xml:space="preserve"> General Refunds sanction, o</w:t>
      </w:r>
      <w:r w:rsidR="0072620B" w:rsidRPr="001F3057">
        <w:t>n the 24 January 2018</w:t>
      </w:r>
      <w:r w:rsidR="00063208" w:rsidRPr="001F3057">
        <w:t xml:space="preserve"> </w:t>
      </w:r>
      <w:r w:rsidR="0072620B" w:rsidRPr="001F3057">
        <w:t>the Executive</w:t>
      </w:r>
      <w:r w:rsidR="00063208" w:rsidRPr="001F3057">
        <w:t xml:space="preserve"> had </w:t>
      </w:r>
      <w:r w:rsidR="0072620B" w:rsidRPr="001F3057">
        <w:t xml:space="preserve">requested that the Level 2 provider complete and return a refund request form by 26 </w:t>
      </w:r>
      <w:r w:rsidR="0072620B" w:rsidRPr="001F3057">
        <w:rPr>
          <w:rFonts w:cs="Arial"/>
        </w:rPr>
        <w:t>January</w:t>
      </w:r>
      <w:r w:rsidR="0072620B" w:rsidRPr="001F3057">
        <w:t xml:space="preserve"> 2018, which detailed all the necessary information to be communicated to complainants who wish</w:t>
      </w:r>
      <w:r w:rsidR="00063208" w:rsidRPr="001F3057">
        <w:t>ed</w:t>
      </w:r>
      <w:r w:rsidR="0072620B" w:rsidRPr="001F3057">
        <w:t xml:space="preserve"> to claim a refund. The Level 2 provider did not acknowledge or respond to this request from the Executive. As the Level 2 provider had not responded to the Executive’s requests following the Tribunal of 15 February 2017, the Executive used contact details previously provided by the Level 2 provider during the investigation. The Executive advised all complainants to contact the Level 2 provider using the previous contact details and should they fail to obtain a refund within 30 days to contact the PSA. After the 30 days had passed the Executive was contacted by 2 complainants, out of the 524, who had been unable to obtain a refund</w:t>
      </w:r>
      <w:r w:rsidR="00E25495" w:rsidRPr="001F3057">
        <w:t>.</w:t>
      </w:r>
      <w:r w:rsidR="00B37DBD" w:rsidRPr="001F3057">
        <w:t xml:space="preserve"> </w:t>
      </w:r>
      <w:r w:rsidR="0072620B" w:rsidRPr="001F3057">
        <w:t xml:space="preserve">In light of there being a relatively small proportion of complainants stating that they had not received a refund, the Executive </w:t>
      </w:r>
      <w:r w:rsidR="00E25495" w:rsidRPr="001F3057">
        <w:t>decided</w:t>
      </w:r>
      <w:r w:rsidR="0072620B" w:rsidRPr="001F3057">
        <w:t xml:space="preserve"> not raised a breach of 4.8.6(b) in relation to the general refunds sanction. </w:t>
      </w:r>
    </w:p>
    <w:p w14:paraId="5B9A84AC" w14:textId="77777777" w:rsidR="0072620B" w:rsidRPr="001F3057" w:rsidRDefault="0072620B" w:rsidP="0043113B">
      <w:pPr>
        <w:pStyle w:val="PSANormalFormal"/>
        <w:ind w:left="720"/>
        <w:rPr>
          <w:u w:val="single"/>
        </w:rPr>
      </w:pPr>
    </w:p>
    <w:p w14:paraId="51E0A7E1" w14:textId="77777777" w:rsidR="0072620B" w:rsidRPr="001F3057" w:rsidRDefault="0072620B" w:rsidP="0043113B">
      <w:pPr>
        <w:pStyle w:val="PSANormalFormal"/>
        <w:ind w:left="720"/>
      </w:pPr>
      <w:r w:rsidRPr="001F3057">
        <w:t>The Executive relie</w:t>
      </w:r>
      <w:r w:rsidR="00E25495" w:rsidRPr="001F3057">
        <w:t>d</w:t>
      </w:r>
      <w:r w:rsidRPr="001F3057">
        <w:t xml:space="preserve"> upon correspondence sent to the Level 2 provider which included details of the outstanding fine. The</w:t>
      </w:r>
      <w:r w:rsidR="00FF67B5" w:rsidRPr="001F3057">
        <w:t xml:space="preserve"> Executive submitted</w:t>
      </w:r>
      <w:r w:rsidRPr="001F3057">
        <w:t xml:space="preserve"> Level 2 provider ha</w:t>
      </w:r>
      <w:r w:rsidR="00FF67B5" w:rsidRPr="001F3057">
        <w:t>d</w:t>
      </w:r>
      <w:r w:rsidRPr="001F3057">
        <w:t xml:space="preserve"> made no attempt </w:t>
      </w:r>
      <w:r w:rsidR="00FF67B5" w:rsidRPr="001F3057">
        <w:t xml:space="preserve">to </w:t>
      </w:r>
      <w:r w:rsidRPr="001F3057">
        <w:t>pay</w:t>
      </w:r>
      <w:r w:rsidR="00331DAA" w:rsidRPr="001F3057">
        <w:t xml:space="preserve"> </w:t>
      </w:r>
      <w:r w:rsidRPr="001F3057">
        <w:t xml:space="preserve">the outstanding fine and </w:t>
      </w:r>
      <w:r w:rsidR="00FF67B5" w:rsidRPr="001F3057">
        <w:t xml:space="preserve">had </w:t>
      </w:r>
      <w:r w:rsidRPr="001F3057">
        <w:t>allowed the company to be struck off and dissolved by failing to submit the required company filings to the Companies register.</w:t>
      </w:r>
    </w:p>
    <w:p w14:paraId="32954412" w14:textId="77777777" w:rsidR="0072620B" w:rsidRPr="001F3057" w:rsidRDefault="0072620B" w:rsidP="0043113B">
      <w:pPr>
        <w:pStyle w:val="PSANormalFormal"/>
        <w:ind w:left="720"/>
        <w:rPr>
          <w:rFonts w:cs="Arial"/>
        </w:rPr>
      </w:pPr>
    </w:p>
    <w:p w14:paraId="23613E82" w14:textId="77777777" w:rsidR="0072620B" w:rsidRPr="001F3057" w:rsidRDefault="00331DAA" w:rsidP="0043113B">
      <w:pPr>
        <w:pStyle w:val="PSANormalFormal"/>
        <w:ind w:left="720"/>
        <w:rPr>
          <w:rFonts w:cs="Arial"/>
        </w:rPr>
      </w:pPr>
      <w:r w:rsidRPr="001F3057">
        <w:rPr>
          <w:rFonts w:cs="Arial"/>
        </w:rPr>
        <w:lastRenderedPageBreak/>
        <w:t>In light of this</w:t>
      </w:r>
      <w:r w:rsidR="0072620B" w:rsidRPr="001F3057">
        <w:rPr>
          <w:rFonts w:cs="Arial"/>
        </w:rPr>
        <w:t>, the Executive assert</w:t>
      </w:r>
      <w:r w:rsidRPr="001F3057">
        <w:rPr>
          <w:rFonts w:cs="Arial"/>
        </w:rPr>
        <w:t>ed</w:t>
      </w:r>
      <w:r w:rsidR="0072620B" w:rsidRPr="001F3057">
        <w:rPr>
          <w:rFonts w:cs="Arial"/>
        </w:rPr>
        <w:t xml:space="preserve"> that the Level 2 provider ha</w:t>
      </w:r>
      <w:r w:rsidRPr="001F3057">
        <w:rPr>
          <w:rFonts w:cs="Arial"/>
        </w:rPr>
        <w:t>d</w:t>
      </w:r>
      <w:r w:rsidR="0072620B" w:rsidRPr="001F3057">
        <w:rPr>
          <w:rFonts w:cs="Arial"/>
        </w:rPr>
        <w:t xml:space="preserve"> intentionally </w:t>
      </w:r>
      <w:r w:rsidRPr="001F3057">
        <w:rPr>
          <w:rFonts w:cs="Arial"/>
        </w:rPr>
        <w:t xml:space="preserve">failed to pay the fine, in </w:t>
      </w:r>
      <w:r w:rsidR="0072620B" w:rsidRPr="001F3057">
        <w:rPr>
          <w:rFonts w:cs="Arial"/>
        </w:rPr>
        <w:t>breach</w:t>
      </w:r>
      <w:r w:rsidRPr="001F3057">
        <w:rPr>
          <w:rFonts w:cs="Arial"/>
        </w:rPr>
        <w:t xml:space="preserve"> of</w:t>
      </w:r>
      <w:r w:rsidR="0072620B" w:rsidRPr="001F3057">
        <w:rPr>
          <w:rFonts w:cs="Arial"/>
        </w:rPr>
        <w:t xml:space="preserve"> rule 4.8.6(b). The </w:t>
      </w:r>
      <w:r w:rsidR="004E1EA0" w:rsidRPr="001F3057">
        <w:rPr>
          <w:rFonts w:cs="Arial"/>
        </w:rPr>
        <w:t xml:space="preserve">Executive stated that the </w:t>
      </w:r>
      <w:r w:rsidR="0072620B" w:rsidRPr="001F3057">
        <w:rPr>
          <w:rFonts w:cs="Arial"/>
        </w:rPr>
        <w:t>Level 2 provider ha</w:t>
      </w:r>
      <w:r w:rsidR="004E1EA0" w:rsidRPr="001F3057">
        <w:rPr>
          <w:rFonts w:cs="Arial"/>
        </w:rPr>
        <w:t>d</w:t>
      </w:r>
      <w:r w:rsidR="0072620B" w:rsidRPr="001F3057">
        <w:rPr>
          <w:rFonts w:cs="Arial"/>
        </w:rPr>
        <w:t xml:space="preserve"> failed to engage with the Executive </w:t>
      </w:r>
      <w:r w:rsidR="004E1EA0" w:rsidRPr="001F3057">
        <w:rPr>
          <w:rFonts w:cs="Arial"/>
        </w:rPr>
        <w:t xml:space="preserve">throughout </w:t>
      </w:r>
      <w:r w:rsidR="0072620B" w:rsidRPr="001F3057">
        <w:rPr>
          <w:rFonts w:cs="Arial"/>
        </w:rPr>
        <w:t>and ha</w:t>
      </w:r>
      <w:r w:rsidR="004E1EA0" w:rsidRPr="001F3057">
        <w:rPr>
          <w:rFonts w:cs="Arial"/>
        </w:rPr>
        <w:t>d</w:t>
      </w:r>
      <w:r w:rsidR="0072620B" w:rsidRPr="001F3057">
        <w:rPr>
          <w:rFonts w:cs="Arial"/>
        </w:rPr>
        <w:t xml:space="preserve"> shown </w:t>
      </w:r>
      <w:r w:rsidR="004E1EA0" w:rsidRPr="001F3057">
        <w:rPr>
          <w:rFonts w:cs="Arial"/>
        </w:rPr>
        <w:t xml:space="preserve">a </w:t>
      </w:r>
      <w:r w:rsidR="0072620B" w:rsidRPr="001F3057">
        <w:rPr>
          <w:rFonts w:cs="Arial"/>
        </w:rPr>
        <w:t xml:space="preserve">complete disregard for the </w:t>
      </w:r>
      <w:r w:rsidR="004E1EA0" w:rsidRPr="001F3057">
        <w:rPr>
          <w:rFonts w:cs="Arial"/>
        </w:rPr>
        <w:t>findings</w:t>
      </w:r>
      <w:r w:rsidR="0072620B" w:rsidRPr="001F3057">
        <w:rPr>
          <w:rFonts w:cs="Arial"/>
        </w:rPr>
        <w:t xml:space="preserve"> of the earlier Tribunal.</w:t>
      </w:r>
    </w:p>
    <w:p w14:paraId="64A7BE24" w14:textId="77777777" w:rsidR="0072620B" w:rsidRPr="001F3057" w:rsidRDefault="0072620B" w:rsidP="0043113B">
      <w:pPr>
        <w:pStyle w:val="PSANormalFormal"/>
      </w:pPr>
    </w:p>
    <w:p w14:paraId="12365EC5" w14:textId="77777777" w:rsidR="0072620B" w:rsidRPr="001F3057" w:rsidRDefault="00F0794B" w:rsidP="0043113B">
      <w:pPr>
        <w:pStyle w:val="PSANormalFormal"/>
        <w:numPr>
          <w:ilvl w:val="0"/>
          <w:numId w:val="15"/>
        </w:numPr>
      </w:pPr>
      <w:r w:rsidRPr="001F3057">
        <w:t>The Level 2 provider did not respond to the Warning Notice</w:t>
      </w:r>
      <w:r w:rsidR="004E1EA0" w:rsidRPr="001F3057">
        <w:t>.</w:t>
      </w:r>
    </w:p>
    <w:p w14:paraId="4ADE706D" w14:textId="77777777" w:rsidR="0072620B" w:rsidRPr="001F3057" w:rsidRDefault="0072620B" w:rsidP="0043113B">
      <w:pPr>
        <w:pStyle w:val="PSANormalFormal"/>
        <w:ind w:left="720"/>
      </w:pPr>
    </w:p>
    <w:p w14:paraId="5DFF5DDB" w14:textId="38D6F2D1" w:rsidR="008D5CB5" w:rsidRPr="001F3057" w:rsidRDefault="00F0794B" w:rsidP="001F3057">
      <w:pPr>
        <w:pStyle w:val="PSANormalFormal"/>
        <w:ind w:left="720"/>
      </w:pPr>
      <w:r w:rsidRPr="001F3057">
        <w:t xml:space="preserve">The </w:t>
      </w:r>
      <w:r w:rsidRPr="001F3057">
        <w:rPr>
          <w:rStyle w:val="PSANormalFormalChar"/>
        </w:rPr>
        <w:t>Tribunal considered the Code and all the evidence before it</w:t>
      </w:r>
      <w:r w:rsidR="008D5CB5" w:rsidRPr="001F3057">
        <w:rPr>
          <w:rStyle w:val="PSANormalFormalChar"/>
        </w:rPr>
        <w:t xml:space="preserve">. </w:t>
      </w:r>
      <w:r w:rsidR="000E497B" w:rsidRPr="001F3057">
        <w:rPr>
          <w:rStyle w:val="PSANormalFormalChar"/>
        </w:rPr>
        <w:t xml:space="preserve">The Tribunal </w:t>
      </w:r>
      <w:r w:rsidR="00B60312" w:rsidRPr="001F3057">
        <w:rPr>
          <w:rStyle w:val="PSANormalFormalChar"/>
        </w:rPr>
        <w:t>was satisfied that</w:t>
      </w:r>
      <w:r w:rsidR="000E497B" w:rsidRPr="001F3057">
        <w:rPr>
          <w:rStyle w:val="PSANormalFormalChar"/>
        </w:rPr>
        <w:t xml:space="preserve"> </w:t>
      </w:r>
      <w:r w:rsidR="00B60312" w:rsidRPr="001F3057">
        <w:rPr>
          <w:rStyle w:val="PSANormalFormalChar"/>
        </w:rPr>
        <w:t>the Level 2 provider had failed to engage with the Executive or to respond to requests for payment of the out</w:t>
      </w:r>
      <w:r w:rsidR="00046821" w:rsidRPr="001F3057">
        <w:rPr>
          <w:rStyle w:val="PSANormalFormalChar"/>
        </w:rPr>
        <w:t>standing fine</w:t>
      </w:r>
      <w:r w:rsidR="00EA2769" w:rsidRPr="001F3057">
        <w:rPr>
          <w:rStyle w:val="PSANormalFormalChar"/>
        </w:rPr>
        <w:t>.</w:t>
      </w:r>
      <w:r w:rsidR="00BF5F66" w:rsidRPr="001F3057">
        <w:rPr>
          <w:rStyle w:val="PSANormalFormalChar"/>
        </w:rPr>
        <w:t xml:space="preserve"> </w:t>
      </w:r>
      <w:r w:rsidR="00DD1CB0" w:rsidRPr="001F3057">
        <w:rPr>
          <w:rStyle w:val="PSANormalFormalChar"/>
        </w:rPr>
        <w:t>Furthermore, t</w:t>
      </w:r>
      <w:r w:rsidR="00BF5F66" w:rsidRPr="001F3057">
        <w:rPr>
          <w:rStyle w:val="PSANormalFormalChar"/>
        </w:rPr>
        <w:t xml:space="preserve">he Tribunal considered that the failure to </w:t>
      </w:r>
      <w:r w:rsidR="00DD1CB0" w:rsidRPr="001F3057">
        <w:rPr>
          <w:rStyle w:val="PSANormalFormalChar"/>
        </w:rPr>
        <w:t>pay the fine</w:t>
      </w:r>
      <w:r w:rsidR="00BF5F66" w:rsidRPr="001F3057">
        <w:rPr>
          <w:rStyle w:val="PSANormalFormalChar"/>
        </w:rPr>
        <w:t xml:space="preserve"> was intentional.</w:t>
      </w:r>
      <w:r w:rsidR="000E497B" w:rsidRPr="001F3057">
        <w:t xml:space="preserve"> </w:t>
      </w:r>
      <w:r w:rsidR="008D5CB5" w:rsidRPr="001F3057">
        <w:rPr>
          <w:color w:val="17365D" w:themeColor="text2" w:themeShade="BF"/>
        </w:rPr>
        <w:t>For the reasons set out</w:t>
      </w:r>
      <w:r w:rsidR="006138FF" w:rsidRPr="001F3057">
        <w:rPr>
          <w:color w:val="17365D" w:themeColor="text2" w:themeShade="BF"/>
        </w:rPr>
        <w:t xml:space="preserve"> by The Executive</w:t>
      </w:r>
      <w:r w:rsidR="008D5CB5" w:rsidRPr="001F3057">
        <w:rPr>
          <w:color w:val="17365D" w:themeColor="text2" w:themeShade="BF"/>
        </w:rPr>
        <w:t xml:space="preserve">, the Tribunal was satisfied that the Level 2 provider had failed to comply with a sanction, in breach of paragraph 4.8.6 of the Code. </w:t>
      </w:r>
    </w:p>
    <w:p w14:paraId="28C08149" w14:textId="77777777" w:rsidR="0072620B" w:rsidRPr="001F3057" w:rsidRDefault="0072620B" w:rsidP="0043113B">
      <w:pPr>
        <w:pStyle w:val="PSANormalFormal"/>
      </w:pPr>
    </w:p>
    <w:p w14:paraId="7C2CA87B" w14:textId="249CD39F" w:rsidR="0072620B" w:rsidRPr="00AE6FBA" w:rsidRDefault="00AE6FBA" w:rsidP="00B37DBD">
      <w:pPr>
        <w:pStyle w:val="PSANormalInternalDocs"/>
        <w:rPr>
          <w:color w:val="001346"/>
          <w:szCs w:val="22"/>
        </w:rPr>
      </w:pPr>
      <w:r w:rsidRPr="00AE6FBA">
        <w:rPr>
          <w:color w:val="001346"/>
          <w:szCs w:val="22"/>
        </w:rPr>
        <w:t>Decision: Breach upheld</w:t>
      </w:r>
      <w:r>
        <w:rPr>
          <w:color w:val="001346"/>
          <w:szCs w:val="22"/>
        </w:rPr>
        <w:br/>
      </w:r>
    </w:p>
    <w:p w14:paraId="58486427" w14:textId="77777777" w:rsidR="00133904" w:rsidRPr="001F3057" w:rsidRDefault="00133904" w:rsidP="0043113B">
      <w:pPr>
        <w:pStyle w:val="PSANormalFormal"/>
      </w:pPr>
    </w:p>
    <w:p w14:paraId="6C37148A" w14:textId="5B138061" w:rsidR="00133904" w:rsidRPr="001F3057" w:rsidRDefault="00EA2769" w:rsidP="0043113B">
      <w:pPr>
        <w:pStyle w:val="PSANormalFormal"/>
        <w:rPr>
          <w:b/>
          <w:color w:val="D30B48"/>
          <w:szCs w:val="22"/>
        </w:rPr>
      </w:pPr>
      <w:r w:rsidRPr="001F3057">
        <w:rPr>
          <w:b/>
          <w:color w:val="D30B48"/>
          <w:szCs w:val="22"/>
        </w:rPr>
        <w:t>Relevant s</w:t>
      </w:r>
      <w:r w:rsidR="00133904" w:rsidRPr="001F3057">
        <w:rPr>
          <w:b/>
          <w:color w:val="D30B48"/>
          <w:szCs w:val="22"/>
        </w:rPr>
        <w:t>ervice revenue</w:t>
      </w:r>
      <w:r w:rsidR="00AE6FBA">
        <w:rPr>
          <w:b/>
          <w:color w:val="D30B48"/>
          <w:szCs w:val="22"/>
        </w:rPr>
        <w:br/>
      </w:r>
    </w:p>
    <w:p w14:paraId="181BF350" w14:textId="2F6F476A" w:rsidR="00133904" w:rsidRPr="001F3057" w:rsidRDefault="00EA2769" w:rsidP="0043113B">
      <w:pPr>
        <w:pStyle w:val="PSANormalFormal"/>
        <w:rPr>
          <w:szCs w:val="22"/>
        </w:rPr>
      </w:pPr>
      <w:r w:rsidRPr="001F3057">
        <w:rPr>
          <w:szCs w:val="22"/>
        </w:rPr>
        <w:t>No relevant service revenue had been generated since the date of the earlier</w:t>
      </w:r>
      <w:r w:rsidR="00B05753" w:rsidRPr="001F3057">
        <w:rPr>
          <w:szCs w:val="22"/>
        </w:rPr>
        <w:t xml:space="preserve"> Tribunal</w:t>
      </w:r>
      <w:r w:rsidRPr="001F3057">
        <w:rPr>
          <w:szCs w:val="22"/>
        </w:rPr>
        <w:t>.</w:t>
      </w:r>
      <w:r w:rsidR="00AE6FBA">
        <w:rPr>
          <w:szCs w:val="22"/>
        </w:rPr>
        <w:br/>
      </w:r>
    </w:p>
    <w:p w14:paraId="0351FD3D" w14:textId="77777777" w:rsidR="00B05753" w:rsidRPr="001F3057" w:rsidRDefault="00B05753" w:rsidP="0043113B">
      <w:pPr>
        <w:pStyle w:val="PSANormalFormal"/>
        <w:rPr>
          <w:color w:val="D30B48"/>
        </w:rPr>
      </w:pPr>
    </w:p>
    <w:p w14:paraId="7B6CB0F9" w14:textId="77777777" w:rsidR="00133904" w:rsidRPr="001F3057" w:rsidRDefault="00133904" w:rsidP="0043113B">
      <w:pPr>
        <w:pStyle w:val="PSANormalFormal"/>
        <w:rPr>
          <w:b/>
          <w:color w:val="D30B48"/>
          <w:szCs w:val="22"/>
        </w:rPr>
      </w:pPr>
      <w:r w:rsidRPr="001F3057">
        <w:rPr>
          <w:b/>
          <w:color w:val="D30B48"/>
          <w:szCs w:val="22"/>
        </w:rPr>
        <w:t xml:space="preserve">Mitigation and aggravation going to </w:t>
      </w:r>
      <w:r w:rsidR="001C50FC" w:rsidRPr="001F3057">
        <w:rPr>
          <w:b/>
          <w:color w:val="D30B48"/>
          <w:szCs w:val="22"/>
        </w:rPr>
        <w:t>the</w:t>
      </w:r>
      <w:r w:rsidRPr="001F3057">
        <w:rPr>
          <w:b/>
          <w:color w:val="D30B48"/>
          <w:szCs w:val="22"/>
        </w:rPr>
        <w:t xml:space="preserve"> breach</w:t>
      </w:r>
    </w:p>
    <w:p w14:paraId="13CE39EC" w14:textId="77777777" w:rsidR="001C50FC" w:rsidRPr="001F3057" w:rsidRDefault="001C50FC" w:rsidP="0043113B">
      <w:pPr>
        <w:pStyle w:val="PSANormalFormal"/>
        <w:rPr>
          <w:color w:val="D30B48"/>
        </w:rPr>
      </w:pPr>
    </w:p>
    <w:p w14:paraId="6990C7B5" w14:textId="77777777" w:rsidR="00133904" w:rsidRPr="001F3057" w:rsidRDefault="00133904" w:rsidP="0043113B">
      <w:pPr>
        <w:pStyle w:val="PSANormalFormal"/>
        <w:rPr>
          <w:szCs w:val="22"/>
        </w:rPr>
      </w:pPr>
      <w:r w:rsidRPr="001F3057">
        <w:rPr>
          <w:szCs w:val="22"/>
        </w:rPr>
        <w:t>The</w:t>
      </w:r>
      <w:r w:rsidR="001C50FC" w:rsidRPr="001F3057">
        <w:rPr>
          <w:szCs w:val="22"/>
        </w:rPr>
        <w:t xml:space="preserve"> Executive </w:t>
      </w:r>
      <w:r w:rsidR="00430E59" w:rsidRPr="001F3057">
        <w:rPr>
          <w:szCs w:val="22"/>
        </w:rPr>
        <w:t xml:space="preserve">stated that there were no </w:t>
      </w:r>
      <w:r w:rsidRPr="001F3057">
        <w:rPr>
          <w:szCs w:val="22"/>
        </w:rPr>
        <w:t>aggravating and or mitigating factors</w:t>
      </w:r>
      <w:r w:rsidR="00430E59" w:rsidRPr="001F3057">
        <w:rPr>
          <w:szCs w:val="22"/>
        </w:rPr>
        <w:t xml:space="preserve"> going to the breach.</w:t>
      </w:r>
    </w:p>
    <w:p w14:paraId="724A54B3" w14:textId="77777777" w:rsidR="00133904" w:rsidRPr="001F3057" w:rsidRDefault="00133904" w:rsidP="0043113B">
      <w:pPr>
        <w:pStyle w:val="PSANormalFormal"/>
        <w:rPr>
          <w:szCs w:val="22"/>
        </w:rPr>
      </w:pPr>
    </w:p>
    <w:p w14:paraId="28A05116" w14:textId="067DE4F2" w:rsidR="00133904" w:rsidRPr="001F3057" w:rsidRDefault="00133904" w:rsidP="0043113B">
      <w:pPr>
        <w:pStyle w:val="PSANormalFormal"/>
        <w:rPr>
          <w:szCs w:val="22"/>
        </w:rPr>
      </w:pPr>
      <w:r w:rsidRPr="001F3057">
        <w:rPr>
          <w:szCs w:val="22"/>
        </w:rPr>
        <w:t>Th</w:t>
      </w:r>
      <w:r w:rsidR="004C3FA5" w:rsidRPr="001F3057">
        <w:rPr>
          <w:szCs w:val="22"/>
        </w:rPr>
        <w:t>e</w:t>
      </w:r>
      <w:r w:rsidRPr="001F3057">
        <w:rPr>
          <w:szCs w:val="22"/>
        </w:rPr>
        <w:t xml:space="preserve"> Tribunal considered that there was </w:t>
      </w:r>
      <w:r w:rsidR="00C957B9" w:rsidRPr="001F3057">
        <w:rPr>
          <w:szCs w:val="22"/>
        </w:rPr>
        <w:t>one mitigating factor</w:t>
      </w:r>
      <w:r w:rsidR="00D00980" w:rsidRPr="001F3057">
        <w:rPr>
          <w:szCs w:val="22"/>
        </w:rPr>
        <w:t>, which was th</w:t>
      </w:r>
      <w:r w:rsidR="00C27B6B" w:rsidRPr="001F3057">
        <w:rPr>
          <w:szCs w:val="22"/>
        </w:rPr>
        <w:t>at there had been a</w:t>
      </w:r>
      <w:r w:rsidR="00D00980" w:rsidRPr="001F3057">
        <w:rPr>
          <w:szCs w:val="22"/>
        </w:rPr>
        <w:t xml:space="preserve"> </w:t>
      </w:r>
      <w:r w:rsidR="00AE6FBA" w:rsidRPr="001F3057">
        <w:rPr>
          <w:szCs w:val="22"/>
        </w:rPr>
        <w:t>one-year</w:t>
      </w:r>
      <w:r w:rsidRPr="001F3057">
        <w:rPr>
          <w:szCs w:val="22"/>
        </w:rPr>
        <w:t xml:space="preserve"> delay on </w:t>
      </w:r>
      <w:r w:rsidR="00D00980" w:rsidRPr="001F3057">
        <w:rPr>
          <w:szCs w:val="22"/>
        </w:rPr>
        <w:t xml:space="preserve">the </w:t>
      </w:r>
      <w:r w:rsidR="00FA1B3D" w:rsidRPr="001F3057">
        <w:rPr>
          <w:szCs w:val="22"/>
        </w:rPr>
        <w:t xml:space="preserve">part of the </w:t>
      </w:r>
      <w:r w:rsidR="00D00980" w:rsidRPr="001F3057">
        <w:rPr>
          <w:szCs w:val="22"/>
        </w:rPr>
        <w:t>Executive</w:t>
      </w:r>
      <w:r w:rsidR="002D39AB" w:rsidRPr="001F3057">
        <w:rPr>
          <w:szCs w:val="22"/>
        </w:rPr>
        <w:t xml:space="preserve"> </w:t>
      </w:r>
      <w:r w:rsidR="00D00980" w:rsidRPr="001F3057">
        <w:rPr>
          <w:szCs w:val="22"/>
        </w:rPr>
        <w:t>in pursuing payment of the fine</w:t>
      </w:r>
      <w:r w:rsidR="00FA1B3D" w:rsidRPr="001F3057">
        <w:rPr>
          <w:szCs w:val="22"/>
        </w:rPr>
        <w:t xml:space="preserve">. </w:t>
      </w:r>
      <w:r w:rsidR="00AE6FBA">
        <w:rPr>
          <w:szCs w:val="22"/>
        </w:rPr>
        <w:t>While</w:t>
      </w:r>
      <w:r w:rsidR="004C3FA5" w:rsidRPr="001F3057">
        <w:rPr>
          <w:szCs w:val="22"/>
        </w:rPr>
        <w:t xml:space="preserve"> the Tribunal</w:t>
      </w:r>
      <w:r w:rsidR="002D39AB" w:rsidRPr="001F3057">
        <w:rPr>
          <w:szCs w:val="22"/>
        </w:rPr>
        <w:t xml:space="preserve"> understood that</w:t>
      </w:r>
      <w:r w:rsidR="000B4FE1" w:rsidRPr="001F3057">
        <w:rPr>
          <w:szCs w:val="22"/>
        </w:rPr>
        <w:t>,</w:t>
      </w:r>
      <w:r w:rsidR="002D39AB" w:rsidRPr="001F3057">
        <w:rPr>
          <w:szCs w:val="22"/>
        </w:rPr>
        <w:t xml:space="preserve"> due to the </w:t>
      </w:r>
      <w:r w:rsidR="000B4FE1" w:rsidRPr="001F3057">
        <w:rPr>
          <w:szCs w:val="22"/>
        </w:rPr>
        <w:t>Level 2 provider</w:t>
      </w:r>
      <w:r w:rsidR="00140B84" w:rsidRPr="001F3057">
        <w:rPr>
          <w:szCs w:val="22"/>
        </w:rPr>
        <w:t xml:space="preserve"> being dissolved, the </w:t>
      </w:r>
      <w:r w:rsidR="004C3FA5" w:rsidRPr="001F3057">
        <w:rPr>
          <w:szCs w:val="22"/>
        </w:rPr>
        <w:t>Executive</w:t>
      </w:r>
      <w:r w:rsidR="00140B84" w:rsidRPr="001F3057">
        <w:rPr>
          <w:szCs w:val="22"/>
        </w:rPr>
        <w:t xml:space="preserve"> could not </w:t>
      </w:r>
      <w:r w:rsidR="00827B2B" w:rsidRPr="001F3057">
        <w:rPr>
          <w:szCs w:val="22"/>
        </w:rPr>
        <w:t xml:space="preserve">enforce </w:t>
      </w:r>
      <w:r w:rsidR="004C3FA5" w:rsidRPr="001F3057">
        <w:rPr>
          <w:szCs w:val="22"/>
        </w:rPr>
        <w:t>the</w:t>
      </w:r>
      <w:r w:rsidR="00827B2B" w:rsidRPr="001F3057">
        <w:rPr>
          <w:szCs w:val="22"/>
        </w:rPr>
        <w:t xml:space="preserve"> sanction</w:t>
      </w:r>
      <w:r w:rsidR="004E21D5" w:rsidRPr="001F3057">
        <w:rPr>
          <w:szCs w:val="22"/>
        </w:rPr>
        <w:t xml:space="preserve"> at an earlier stage</w:t>
      </w:r>
      <w:r w:rsidR="00D87E91" w:rsidRPr="001F3057">
        <w:rPr>
          <w:szCs w:val="22"/>
        </w:rPr>
        <w:t>, it n</w:t>
      </w:r>
      <w:r w:rsidR="008A46D3" w:rsidRPr="001F3057">
        <w:rPr>
          <w:szCs w:val="22"/>
        </w:rPr>
        <w:t>ever</w:t>
      </w:r>
      <w:r w:rsidR="00D87E91" w:rsidRPr="001F3057">
        <w:rPr>
          <w:szCs w:val="22"/>
        </w:rPr>
        <w:t>theless considered this to be a mitigating factor.</w:t>
      </w:r>
      <w:r w:rsidR="00AE6FBA">
        <w:rPr>
          <w:szCs w:val="22"/>
        </w:rPr>
        <w:br/>
      </w:r>
    </w:p>
    <w:p w14:paraId="29538EC9" w14:textId="77777777" w:rsidR="00133904" w:rsidRPr="001F3057" w:rsidRDefault="00133904" w:rsidP="0043113B">
      <w:pPr>
        <w:pStyle w:val="PSANormalFormal"/>
        <w:rPr>
          <w:color w:val="D30B48"/>
        </w:rPr>
      </w:pPr>
    </w:p>
    <w:p w14:paraId="05998E0A" w14:textId="77777777" w:rsidR="00133904" w:rsidRPr="001F3057" w:rsidRDefault="00133904" w:rsidP="0043113B">
      <w:pPr>
        <w:pStyle w:val="PSANormalFormal"/>
        <w:rPr>
          <w:b/>
          <w:color w:val="D30B48"/>
          <w:szCs w:val="22"/>
        </w:rPr>
      </w:pPr>
      <w:r w:rsidRPr="001F3057">
        <w:rPr>
          <w:b/>
          <w:color w:val="D30B48"/>
          <w:szCs w:val="22"/>
        </w:rPr>
        <w:t>Executive’s initial assessment of severity</w:t>
      </w:r>
    </w:p>
    <w:p w14:paraId="6EEAC104" w14:textId="77777777" w:rsidR="00F0794B" w:rsidRPr="001F3057" w:rsidRDefault="00F0794B" w:rsidP="0043113B">
      <w:pPr>
        <w:pStyle w:val="PSANormalFormal"/>
        <w:rPr>
          <w:color w:val="D30B48"/>
        </w:rPr>
      </w:pPr>
    </w:p>
    <w:p w14:paraId="3EFB96D0" w14:textId="26C4CD57" w:rsidR="00133904" w:rsidRPr="001F3057" w:rsidRDefault="00F0794B" w:rsidP="0043113B">
      <w:pPr>
        <w:pStyle w:val="PSANormalFormal"/>
        <w:rPr>
          <w:color w:val="D30B48"/>
        </w:rPr>
      </w:pPr>
      <w:r w:rsidRPr="001F3057">
        <w:t>The Executive considers the breach to be ‘</w:t>
      </w:r>
      <w:r w:rsidRPr="001F3057">
        <w:rPr>
          <w:b/>
          <w:szCs w:val="22"/>
        </w:rPr>
        <w:t>very serious</w:t>
      </w:r>
      <w:r w:rsidRPr="001F3057">
        <w:rPr>
          <w:szCs w:val="22"/>
        </w:rPr>
        <w:t>’ as the breach was committed intentionally and demonstrate</w:t>
      </w:r>
      <w:r w:rsidR="00F272EC" w:rsidRPr="001F3057">
        <w:rPr>
          <w:szCs w:val="22"/>
        </w:rPr>
        <w:t>d</w:t>
      </w:r>
      <w:r w:rsidRPr="001F3057">
        <w:rPr>
          <w:szCs w:val="22"/>
        </w:rPr>
        <w:t xml:space="preserve"> a fundamental disregard for the </w:t>
      </w:r>
      <w:r w:rsidR="00F272EC" w:rsidRPr="001F3057">
        <w:rPr>
          <w:szCs w:val="22"/>
        </w:rPr>
        <w:t xml:space="preserve">requirements of the </w:t>
      </w:r>
      <w:r w:rsidRPr="001F3057">
        <w:rPr>
          <w:szCs w:val="22"/>
        </w:rPr>
        <w:t>Code.</w:t>
      </w:r>
      <w:r w:rsidR="00AE6FBA">
        <w:rPr>
          <w:szCs w:val="22"/>
        </w:rPr>
        <w:br/>
      </w:r>
    </w:p>
    <w:p w14:paraId="54D573D1" w14:textId="77777777" w:rsidR="00F0794B" w:rsidRPr="001F3057" w:rsidRDefault="00F0794B" w:rsidP="0043113B">
      <w:pPr>
        <w:pStyle w:val="PSANormalFormal"/>
        <w:rPr>
          <w:color w:val="D30B48"/>
        </w:rPr>
      </w:pPr>
    </w:p>
    <w:p w14:paraId="1BC8F2FE" w14:textId="77777777" w:rsidR="00133904" w:rsidRPr="001F3057" w:rsidRDefault="00133904" w:rsidP="0043113B">
      <w:pPr>
        <w:pStyle w:val="PSANormalFormal"/>
        <w:rPr>
          <w:b/>
          <w:color w:val="D30B48"/>
          <w:szCs w:val="22"/>
        </w:rPr>
      </w:pPr>
      <w:r w:rsidRPr="001F3057">
        <w:rPr>
          <w:b/>
          <w:color w:val="D30B48"/>
          <w:szCs w:val="22"/>
        </w:rPr>
        <w:t>Recommended sanctions - initial assessment</w:t>
      </w:r>
    </w:p>
    <w:p w14:paraId="071EBA7E" w14:textId="77777777" w:rsidR="00F0794B" w:rsidRPr="001F3057" w:rsidRDefault="00F0794B" w:rsidP="0043113B">
      <w:pPr>
        <w:pStyle w:val="PSANormalFormal"/>
        <w:rPr>
          <w:color w:val="D30B48"/>
        </w:rPr>
      </w:pPr>
    </w:p>
    <w:p w14:paraId="40E51A70" w14:textId="77777777" w:rsidR="007254A3" w:rsidRPr="001F3057" w:rsidRDefault="00F0794B" w:rsidP="0043113B">
      <w:pPr>
        <w:pStyle w:val="PSANormalFormal"/>
      </w:pPr>
      <w:r w:rsidRPr="001F3057">
        <w:t>The Executive recommend</w:t>
      </w:r>
      <w:r w:rsidR="00895978" w:rsidRPr="001F3057">
        <w:t>ed</w:t>
      </w:r>
      <w:r w:rsidRPr="001F3057">
        <w:t xml:space="preserve"> </w:t>
      </w:r>
      <w:r w:rsidR="00C932F9" w:rsidRPr="001F3057">
        <w:t>the following initial</w:t>
      </w:r>
      <w:r w:rsidR="007254A3" w:rsidRPr="001F3057">
        <w:t xml:space="preserve"> sanctions:</w:t>
      </w:r>
    </w:p>
    <w:p w14:paraId="30340A0A" w14:textId="77777777" w:rsidR="007254A3" w:rsidRPr="001F3057" w:rsidRDefault="007254A3" w:rsidP="0043113B">
      <w:pPr>
        <w:pStyle w:val="PSANormalFormal"/>
      </w:pPr>
    </w:p>
    <w:p w14:paraId="5771E2D2" w14:textId="77777777" w:rsidR="00133904" w:rsidRPr="001F3057" w:rsidRDefault="00F0794B" w:rsidP="0043113B">
      <w:pPr>
        <w:pStyle w:val="PSANormalFormal"/>
        <w:numPr>
          <w:ilvl w:val="0"/>
          <w:numId w:val="14"/>
        </w:numPr>
      </w:pPr>
      <w:r w:rsidRPr="001F3057">
        <w:t xml:space="preserve">a formal reprimand </w:t>
      </w:r>
    </w:p>
    <w:p w14:paraId="47176D2D" w14:textId="77777777" w:rsidR="00F0794B" w:rsidRPr="001F3057" w:rsidRDefault="00F0794B" w:rsidP="0043113B">
      <w:pPr>
        <w:pStyle w:val="PSANormalFormal"/>
        <w:rPr>
          <w:color w:val="D30B48"/>
        </w:rPr>
      </w:pPr>
    </w:p>
    <w:p w14:paraId="68C43DD9" w14:textId="3E978061" w:rsidR="00F0794B" w:rsidRPr="001F3057" w:rsidRDefault="00F0794B" w:rsidP="0043113B">
      <w:pPr>
        <w:pStyle w:val="PSANormalFormal"/>
        <w:numPr>
          <w:ilvl w:val="0"/>
          <w:numId w:val="14"/>
        </w:numPr>
      </w:pPr>
      <w:bookmarkStart w:id="2" w:name="_Hlk536715021"/>
      <w:r w:rsidRPr="001F3057">
        <w:t xml:space="preserve">that the </w:t>
      </w:r>
      <w:r w:rsidR="00C17220" w:rsidRPr="001F3057">
        <w:t xml:space="preserve">Level 2 provider </w:t>
      </w:r>
      <w:r w:rsidR="007254A3" w:rsidRPr="001F3057">
        <w:t>be</w:t>
      </w:r>
      <w:r w:rsidRPr="001F3057">
        <w:t xml:space="preserve"> prohibited from providing or having any involvement in any </w:t>
      </w:r>
      <w:r w:rsidR="00390069">
        <w:t>premium rate services</w:t>
      </w:r>
      <w:r w:rsidRPr="001F3057">
        <w:t xml:space="preserve"> or promotion for a period of </w:t>
      </w:r>
      <w:r w:rsidR="00AB7A73">
        <w:t>five</w:t>
      </w:r>
      <w:r w:rsidRPr="001F3057">
        <w:t xml:space="preserve"> years from the date of the publication of the Tribunal’s decision.</w:t>
      </w:r>
    </w:p>
    <w:p w14:paraId="4B859A41" w14:textId="77777777" w:rsidR="002B6BA4" w:rsidRPr="001F3057" w:rsidRDefault="002B6BA4" w:rsidP="0043113B">
      <w:pPr>
        <w:pStyle w:val="PSANormalFormal"/>
      </w:pPr>
    </w:p>
    <w:p w14:paraId="5F7B8315" w14:textId="6FF96DDE" w:rsidR="002B6BA4" w:rsidRPr="001F3057" w:rsidRDefault="002B6BA4" w:rsidP="0043113B">
      <w:pPr>
        <w:pStyle w:val="PSANormalFormal"/>
      </w:pPr>
      <w:r w:rsidRPr="001F3057">
        <w:t xml:space="preserve">The Tribunal agreed with the Executive’s recommended initial sanctions. However, the Tribunal considered that </w:t>
      </w:r>
      <w:r w:rsidR="00CA60CC" w:rsidRPr="001F3057">
        <w:t xml:space="preserve">it was also appropriate to impose a fine in respect of the </w:t>
      </w:r>
      <w:r w:rsidR="00E23CCE" w:rsidRPr="001F3057">
        <w:t xml:space="preserve">additional </w:t>
      </w:r>
      <w:r w:rsidR="00CA60CC" w:rsidRPr="001F3057">
        <w:t xml:space="preserve">breach, </w:t>
      </w:r>
      <w:r w:rsidR="00E84451" w:rsidRPr="001F3057">
        <w:t>given the very serious and intentional nature of the breach</w:t>
      </w:r>
      <w:r w:rsidR="00C20DAF" w:rsidRPr="001F3057">
        <w:t>.</w:t>
      </w:r>
      <w:r w:rsidR="00E23CCE" w:rsidRPr="001F3057">
        <w:t xml:space="preserve"> The Tribunal reviewed past prac</w:t>
      </w:r>
      <w:r w:rsidR="004B30E5" w:rsidRPr="001F3057">
        <w:t xml:space="preserve">tice and </w:t>
      </w:r>
      <w:r w:rsidR="004B30E5" w:rsidRPr="001F3057">
        <w:lastRenderedPageBreak/>
        <w:t xml:space="preserve">precedent </w:t>
      </w:r>
      <w:r w:rsidR="00AE6FBA" w:rsidRPr="001F3057">
        <w:t>cases of</w:t>
      </w:r>
      <w:r w:rsidR="004B30E5" w:rsidRPr="001F3057">
        <w:t xml:space="preserve"> the Tribunal on </w:t>
      </w:r>
      <w:r w:rsidR="00E23CCE" w:rsidRPr="001F3057">
        <w:t>breach of sanction case</w:t>
      </w:r>
      <w:r w:rsidR="004B30E5" w:rsidRPr="001F3057">
        <w:t>s</w:t>
      </w:r>
      <w:r w:rsidR="00E23CCE" w:rsidRPr="001F3057">
        <w:t xml:space="preserve">, such as </w:t>
      </w:r>
      <w:r w:rsidR="00D65605">
        <w:t xml:space="preserve">what </w:t>
      </w:r>
      <w:r w:rsidR="00E23CCE" w:rsidRPr="001F3057">
        <w:t>had occurred here</w:t>
      </w:r>
      <w:r w:rsidR="004B30E5" w:rsidRPr="001F3057">
        <w:t>. The approach seems to have been of not</w:t>
      </w:r>
      <w:r w:rsidR="00E23CCE" w:rsidRPr="001F3057">
        <w:t xml:space="preserve"> imposing any financial penalty unless additional revenues had been generated</w:t>
      </w:r>
      <w:r w:rsidR="009D7183" w:rsidRPr="001F3057">
        <w:t>. That approach was to be departed from in future cases as a breach of sanction was a very serious matter and there are a growing number of cases where this is occurring</w:t>
      </w:r>
      <w:r w:rsidR="00102E09">
        <w:t xml:space="preserve">. </w:t>
      </w:r>
      <w:r w:rsidR="004B30E5" w:rsidRPr="001F3057">
        <w:t>A fine or additional sanctions were appropriate provided the str</w:t>
      </w:r>
      <w:r w:rsidR="00AE6FBA">
        <w:t>u</w:t>
      </w:r>
      <w:r w:rsidR="004B30E5" w:rsidRPr="001F3057">
        <w:t xml:space="preserve">ctures of the sanctions Guidance are followed and the case warrants it. On the facts of this case, an additional fine was warranted and justified as a deterrent sanction and in light of the seriousness of the breach, in particular, of non-compliance by the Level provider. </w:t>
      </w:r>
    </w:p>
    <w:bookmarkEnd w:id="2"/>
    <w:p w14:paraId="2060A3CF" w14:textId="77777777" w:rsidR="00F0794B" w:rsidRPr="001F3057" w:rsidRDefault="00F0794B" w:rsidP="0043113B">
      <w:pPr>
        <w:pStyle w:val="PSANormalFormal"/>
      </w:pPr>
    </w:p>
    <w:p w14:paraId="3678F43F" w14:textId="77777777" w:rsidR="00F0794B" w:rsidRPr="001F3057" w:rsidRDefault="00F0794B" w:rsidP="0043113B">
      <w:pPr>
        <w:pStyle w:val="PSANormalFormal"/>
      </w:pPr>
    </w:p>
    <w:p w14:paraId="593EE9A1" w14:textId="77777777" w:rsidR="00133904" w:rsidRPr="001F3057" w:rsidRDefault="00133904" w:rsidP="0043113B">
      <w:pPr>
        <w:pStyle w:val="PSASubtitlesFormal"/>
      </w:pPr>
      <w:r w:rsidRPr="001F3057">
        <w:t>Overall case and proportionality assessments</w:t>
      </w:r>
    </w:p>
    <w:p w14:paraId="528F2E59" w14:textId="1FA97716" w:rsidR="00133904" w:rsidRPr="001F3057" w:rsidRDefault="00133904" w:rsidP="0043113B">
      <w:pPr>
        <w:pStyle w:val="PSANormalFormal"/>
      </w:pPr>
      <w:r w:rsidRPr="001F3057">
        <w:t>The Tribunal considered that the overall severity of this case was Very Serious</w:t>
      </w:r>
      <w:r w:rsidR="00AE6FBA">
        <w:t>.</w:t>
      </w:r>
      <w:r w:rsidR="00AE6FBA">
        <w:br/>
      </w:r>
    </w:p>
    <w:p w14:paraId="59F1E772" w14:textId="77777777" w:rsidR="00133904" w:rsidRPr="001F3057" w:rsidRDefault="00133904" w:rsidP="0043113B">
      <w:pPr>
        <w:pStyle w:val="PSANormalFormal"/>
      </w:pPr>
    </w:p>
    <w:p w14:paraId="3048D575" w14:textId="11719152" w:rsidR="00133904" w:rsidRPr="001F3057" w:rsidRDefault="00133904" w:rsidP="0043113B">
      <w:pPr>
        <w:pStyle w:val="PSASubtitlesFormal"/>
      </w:pPr>
      <w:r w:rsidRPr="001F3057">
        <w:t xml:space="preserve">Aggravating factors </w:t>
      </w:r>
      <w:r w:rsidR="00DD0EDC">
        <w:t xml:space="preserve">applying </w:t>
      </w:r>
      <w:r w:rsidRPr="001F3057">
        <w:t>as a whole</w:t>
      </w:r>
    </w:p>
    <w:p w14:paraId="120E6DE9" w14:textId="77777777" w:rsidR="00292F18" w:rsidRPr="001F3057" w:rsidRDefault="00F0794B" w:rsidP="0043113B">
      <w:pPr>
        <w:pStyle w:val="PSANormalFormal"/>
      </w:pPr>
      <w:r w:rsidRPr="001F3057">
        <w:t>The Executive submit</w:t>
      </w:r>
      <w:r w:rsidR="00481638" w:rsidRPr="001F3057">
        <w:t>ted</w:t>
      </w:r>
      <w:r w:rsidRPr="001F3057">
        <w:t xml:space="preserve"> that the</w:t>
      </w:r>
      <w:r w:rsidR="00292F18" w:rsidRPr="001F3057">
        <w:t xml:space="preserve"> following were aggravating factors:</w:t>
      </w:r>
    </w:p>
    <w:p w14:paraId="4E9B39F8" w14:textId="77777777" w:rsidR="00292F18" w:rsidRPr="001F3057" w:rsidRDefault="00292F18" w:rsidP="0043113B">
      <w:pPr>
        <w:pStyle w:val="PSANormalFormal"/>
      </w:pPr>
    </w:p>
    <w:p w14:paraId="340BAD05" w14:textId="39E5A2A7" w:rsidR="00F0794B" w:rsidRPr="001F3057" w:rsidRDefault="00AE6FBA" w:rsidP="0043113B">
      <w:pPr>
        <w:pStyle w:val="PSANormalFormal"/>
        <w:numPr>
          <w:ilvl w:val="0"/>
          <w:numId w:val="16"/>
        </w:numPr>
      </w:pPr>
      <w:r>
        <w:t>t</w:t>
      </w:r>
      <w:r w:rsidR="00292F18" w:rsidRPr="001F3057">
        <w:t>he</w:t>
      </w:r>
      <w:r w:rsidR="00F0794B" w:rsidRPr="001F3057">
        <w:t xml:space="preserve"> Level 2 provider’s failure to submit the required company filings</w:t>
      </w:r>
      <w:r w:rsidR="00481638" w:rsidRPr="001F3057">
        <w:t xml:space="preserve">, </w:t>
      </w:r>
      <w:r w:rsidR="00292F18" w:rsidRPr="001F3057">
        <w:t>thereby</w:t>
      </w:r>
      <w:r w:rsidR="00F0794B" w:rsidRPr="001F3057">
        <w:t xml:space="preserve"> allowing the dissolution of the company </w:t>
      </w:r>
      <w:r>
        <w:t>while</w:t>
      </w:r>
      <w:r w:rsidR="00F0794B" w:rsidRPr="001F3057">
        <w:t xml:space="preserve"> being aware of an ongoing investigation</w:t>
      </w:r>
      <w:r w:rsidR="00C626EE" w:rsidRPr="001F3057">
        <w:t xml:space="preserve">, which </w:t>
      </w:r>
      <w:r w:rsidR="00F0794B" w:rsidRPr="001F3057">
        <w:t>demonstrate</w:t>
      </w:r>
      <w:r w:rsidR="00292F18" w:rsidRPr="001F3057">
        <w:t>d</w:t>
      </w:r>
      <w:r w:rsidR="00F0794B" w:rsidRPr="001F3057">
        <w:t xml:space="preserve"> the Level 2 provider’s intention to avoid regulation</w:t>
      </w:r>
    </w:p>
    <w:p w14:paraId="3EF96F0F" w14:textId="77777777" w:rsidR="00F0794B" w:rsidRPr="001F3057" w:rsidRDefault="00F0794B" w:rsidP="0043113B">
      <w:pPr>
        <w:pStyle w:val="PSANormalFormal"/>
      </w:pPr>
    </w:p>
    <w:p w14:paraId="02266EEA" w14:textId="68D687CC" w:rsidR="00F0794B" w:rsidRPr="001F3057" w:rsidRDefault="00AE6FBA" w:rsidP="0043113B">
      <w:pPr>
        <w:pStyle w:val="PSANormalFormal"/>
        <w:numPr>
          <w:ilvl w:val="0"/>
          <w:numId w:val="16"/>
        </w:numPr>
      </w:pPr>
      <w:r>
        <w:t>t</w:t>
      </w:r>
      <w:r w:rsidR="00C626EE" w:rsidRPr="001F3057">
        <w:t>he Level 2 provider’s</w:t>
      </w:r>
      <w:r w:rsidR="00F0794B" w:rsidRPr="001F3057">
        <w:t xml:space="preserve"> </w:t>
      </w:r>
      <w:r w:rsidR="00C626EE" w:rsidRPr="001F3057">
        <w:t>complete failure</w:t>
      </w:r>
      <w:r w:rsidR="00F0794B" w:rsidRPr="001F3057">
        <w:t xml:space="preserve"> to respond to all communication</w:t>
      </w:r>
      <w:r w:rsidR="00C626EE" w:rsidRPr="001F3057">
        <w:t>s</w:t>
      </w:r>
      <w:r w:rsidR="00F0794B" w:rsidRPr="001F3057">
        <w:t xml:space="preserve"> from the PSA since 9 December 2016 when the Warning Notice was issued for the earlier case ref 71967.</w:t>
      </w:r>
    </w:p>
    <w:p w14:paraId="1779C008" w14:textId="77777777" w:rsidR="00240254" w:rsidRPr="001F3057" w:rsidRDefault="00240254" w:rsidP="0043113B">
      <w:pPr>
        <w:pStyle w:val="PSANormalFormal"/>
      </w:pPr>
    </w:p>
    <w:p w14:paraId="34C8AF27" w14:textId="77777777" w:rsidR="00240254" w:rsidRPr="001F3057" w:rsidRDefault="00240254" w:rsidP="0043113B">
      <w:pPr>
        <w:pStyle w:val="PSANormalFormal"/>
      </w:pPr>
      <w:r w:rsidRPr="001F3057">
        <w:t xml:space="preserve">The Tribunal </w:t>
      </w:r>
      <w:r w:rsidR="00D35AF1" w:rsidRPr="001F3057">
        <w:t xml:space="preserve">did not consider the failure by the </w:t>
      </w:r>
      <w:r w:rsidR="00FB246B" w:rsidRPr="001F3057">
        <w:t xml:space="preserve">Level 2 provider to submit company filings to be </w:t>
      </w:r>
      <w:r w:rsidR="007E018B" w:rsidRPr="001F3057">
        <w:t xml:space="preserve">an </w:t>
      </w:r>
      <w:r w:rsidR="00FB246B" w:rsidRPr="001F3057">
        <w:t>aggravating</w:t>
      </w:r>
      <w:r w:rsidR="007E018B" w:rsidRPr="001F3057">
        <w:t xml:space="preserve"> factor. </w:t>
      </w:r>
      <w:r w:rsidR="00A9364A" w:rsidRPr="001F3057">
        <w:t>T</w:t>
      </w:r>
      <w:r w:rsidR="00FB246B" w:rsidRPr="001F3057">
        <w:t xml:space="preserve">he Tribunal considered that this could have been </w:t>
      </w:r>
      <w:r w:rsidR="005E6EE3" w:rsidRPr="001F3057">
        <w:t>for</w:t>
      </w:r>
      <w:r w:rsidR="00FB246B" w:rsidRPr="001F3057">
        <w:t xml:space="preserve"> </w:t>
      </w:r>
      <w:r w:rsidR="00A9364A" w:rsidRPr="001F3057">
        <w:t>reasons</w:t>
      </w:r>
      <w:r w:rsidR="00375421" w:rsidRPr="001F3057">
        <w:t xml:space="preserve"> unconnected with</w:t>
      </w:r>
      <w:r w:rsidR="00A9364A" w:rsidRPr="001F3057">
        <w:t xml:space="preserve"> </w:t>
      </w:r>
      <w:r w:rsidR="00375421" w:rsidRPr="001F3057">
        <w:t>the Executive’s investigation</w:t>
      </w:r>
      <w:r w:rsidR="0012392A" w:rsidRPr="001F3057">
        <w:t xml:space="preserve">, </w:t>
      </w:r>
      <w:r w:rsidR="007F1BCE" w:rsidRPr="001F3057">
        <w:t xml:space="preserve">noting that this was </w:t>
      </w:r>
      <w:r w:rsidR="00A61E9D" w:rsidRPr="001F3057">
        <w:t xml:space="preserve">also </w:t>
      </w:r>
      <w:r w:rsidR="007F1BCE" w:rsidRPr="001F3057">
        <w:t>a Companies House requirement, not a regulat</w:t>
      </w:r>
      <w:r w:rsidR="00A61E9D" w:rsidRPr="001F3057">
        <w:t xml:space="preserve">ory requirement. The Tribunal considered that </w:t>
      </w:r>
      <w:r w:rsidR="00543433" w:rsidRPr="001F3057">
        <w:t>t</w:t>
      </w:r>
      <w:r w:rsidR="0012392A" w:rsidRPr="001F3057">
        <w:t xml:space="preserve">here was no evidence </w:t>
      </w:r>
      <w:r w:rsidR="00A61E9D" w:rsidRPr="001F3057">
        <w:t>to support that this was</w:t>
      </w:r>
      <w:r w:rsidR="00016152" w:rsidRPr="001F3057">
        <w:t xml:space="preserve"> a deliberate attempt </w:t>
      </w:r>
      <w:r w:rsidR="007E018B" w:rsidRPr="001F3057">
        <w:t xml:space="preserve">by the Level 2 provider </w:t>
      </w:r>
      <w:r w:rsidR="00016152" w:rsidRPr="001F3057">
        <w:t>to avoid regulation.</w:t>
      </w:r>
      <w:r w:rsidR="00A9364A" w:rsidRPr="001F3057">
        <w:t xml:space="preserve"> </w:t>
      </w:r>
    </w:p>
    <w:p w14:paraId="11F43726" w14:textId="77777777" w:rsidR="007E018B" w:rsidRPr="001F3057" w:rsidRDefault="007E018B" w:rsidP="0043113B">
      <w:pPr>
        <w:pStyle w:val="PSANormalFormal"/>
      </w:pPr>
    </w:p>
    <w:p w14:paraId="60F46752" w14:textId="363DA254" w:rsidR="007E018B" w:rsidRPr="001F3057" w:rsidRDefault="007E018B" w:rsidP="0043113B">
      <w:pPr>
        <w:pStyle w:val="PSANormalFormal"/>
      </w:pPr>
      <w:r w:rsidRPr="001F3057">
        <w:t>The Tribunal did</w:t>
      </w:r>
      <w:r w:rsidR="00263539" w:rsidRPr="001F3057">
        <w:t xml:space="preserve"> </w:t>
      </w:r>
      <w:r w:rsidR="00543433" w:rsidRPr="001F3057">
        <w:t xml:space="preserve">however </w:t>
      </w:r>
      <w:r w:rsidRPr="001F3057">
        <w:t xml:space="preserve">consider </w:t>
      </w:r>
      <w:r w:rsidR="00EA2274" w:rsidRPr="001F3057">
        <w:t>the Level 2 provider’s failure to respond to all PSA communications to be an aggravating factor</w:t>
      </w:r>
      <w:r w:rsidR="00A61E9D" w:rsidRPr="001F3057">
        <w:t>.</w:t>
      </w:r>
      <w:r w:rsidR="00AE6FBA">
        <w:br/>
      </w:r>
    </w:p>
    <w:p w14:paraId="1B2CAFAD" w14:textId="77777777" w:rsidR="00233445" w:rsidRPr="001F3057" w:rsidRDefault="00233445" w:rsidP="0043113B">
      <w:pPr>
        <w:pStyle w:val="PSANormalFormal"/>
        <w:rPr>
          <w:rFonts w:cs="Arial"/>
        </w:rPr>
      </w:pPr>
    </w:p>
    <w:p w14:paraId="1C5C2F21" w14:textId="092C1FB7" w:rsidR="00EA1CC2" w:rsidRPr="001F3057" w:rsidRDefault="00EA1CC2" w:rsidP="0043113B">
      <w:pPr>
        <w:pStyle w:val="PSASubtitlesFormal"/>
      </w:pPr>
      <w:r w:rsidRPr="001F3057">
        <w:t xml:space="preserve">Mitigating factors </w:t>
      </w:r>
      <w:r w:rsidR="00DD0EDC">
        <w:t>applying</w:t>
      </w:r>
      <w:r w:rsidRPr="001F3057">
        <w:t xml:space="preserve"> as a whole</w:t>
      </w:r>
    </w:p>
    <w:p w14:paraId="76A2F629" w14:textId="77777777" w:rsidR="0095745C" w:rsidRPr="001F3057" w:rsidRDefault="0095745C" w:rsidP="0043113B">
      <w:pPr>
        <w:pStyle w:val="PSANormalFormal"/>
      </w:pPr>
      <w:r w:rsidRPr="001F3057">
        <w:t>The Executive submitted that there were no mitigating factors.</w:t>
      </w:r>
    </w:p>
    <w:p w14:paraId="64CA88DD" w14:textId="77777777" w:rsidR="0095745C" w:rsidRPr="001F3057" w:rsidRDefault="0095745C" w:rsidP="0043113B">
      <w:pPr>
        <w:pStyle w:val="PSANormalFormal"/>
      </w:pPr>
    </w:p>
    <w:p w14:paraId="48F17DCC" w14:textId="5F896D94" w:rsidR="00233445" w:rsidRPr="001F3057" w:rsidRDefault="00EA1CC2" w:rsidP="0043113B">
      <w:pPr>
        <w:pStyle w:val="PSANormalFormal"/>
      </w:pPr>
      <w:r w:rsidRPr="001F3057">
        <w:t xml:space="preserve">The Tribunal found that </w:t>
      </w:r>
      <w:r w:rsidR="00145AA5" w:rsidRPr="001F3057">
        <w:t>the delay on the part of the Executive in enforcing the fi</w:t>
      </w:r>
      <w:r w:rsidR="008A1BCA" w:rsidRPr="001F3057">
        <w:t>n</w:t>
      </w:r>
      <w:r w:rsidR="00145AA5" w:rsidRPr="001F3057">
        <w:t>e was a mitig</w:t>
      </w:r>
      <w:r w:rsidR="00B50C24" w:rsidRPr="001F3057">
        <w:t>ating factor.</w:t>
      </w:r>
      <w:r w:rsidR="00AE6FBA">
        <w:br/>
      </w:r>
    </w:p>
    <w:p w14:paraId="7373CA15" w14:textId="77777777" w:rsidR="00F0794B" w:rsidRPr="001F3057" w:rsidRDefault="00F0794B" w:rsidP="0043113B">
      <w:pPr>
        <w:pStyle w:val="PSANormalFormal"/>
      </w:pPr>
    </w:p>
    <w:p w14:paraId="3C1C72B4" w14:textId="77777777" w:rsidR="00133904" w:rsidRPr="001F3057" w:rsidRDefault="00133904" w:rsidP="0043113B">
      <w:pPr>
        <w:pStyle w:val="PSASubtitlesFormal"/>
      </w:pPr>
      <w:r w:rsidRPr="001F3057">
        <w:t>Proportionality considerations</w:t>
      </w:r>
    </w:p>
    <w:p w14:paraId="1FE0AED1" w14:textId="5880C81A" w:rsidR="00C672F3" w:rsidRPr="001F3057" w:rsidRDefault="00C27B6B" w:rsidP="0043113B">
      <w:pPr>
        <w:pStyle w:val="PSANormalFormal"/>
      </w:pPr>
      <w:r w:rsidRPr="001F3057">
        <w:t xml:space="preserve">The Executive </w:t>
      </w:r>
      <w:r w:rsidR="007C6A56" w:rsidRPr="001F3057">
        <w:t xml:space="preserve">stated that the recommended </w:t>
      </w:r>
      <w:r w:rsidRPr="001F3057">
        <w:t>sanction</w:t>
      </w:r>
      <w:r w:rsidR="00EA5AE2" w:rsidRPr="001F3057">
        <w:t xml:space="preserve">s of a formal reprimand and </w:t>
      </w:r>
      <w:r w:rsidR="00AE6FBA" w:rsidRPr="001F3057">
        <w:t>five-year</w:t>
      </w:r>
      <w:r w:rsidR="00EA5AE2" w:rsidRPr="001F3057">
        <w:t xml:space="preserve"> prohibition on the Level 2 provider </w:t>
      </w:r>
      <w:r w:rsidR="00315234" w:rsidRPr="001F3057">
        <w:t xml:space="preserve">were proportionate and justified. The totality of the recommended sanctions would result in the removal of the Level 2 provider from the UK premium rate industry </w:t>
      </w:r>
      <w:r w:rsidR="0031154A" w:rsidRPr="001F3057">
        <w:t>and mi</w:t>
      </w:r>
      <w:r w:rsidR="0024555D" w:rsidRPr="001F3057">
        <w:t xml:space="preserve">ght impact on the financial health of the provider should it wish to launch a new premium rate service in the UK. However, the Executive was satisfied that the prohibition was </w:t>
      </w:r>
      <w:r w:rsidR="0024555D" w:rsidRPr="001F3057">
        <w:lastRenderedPageBreak/>
        <w:t xml:space="preserve">justified </w:t>
      </w:r>
      <w:r w:rsidR="00017693" w:rsidRPr="001F3057">
        <w:t xml:space="preserve">when balanced with the need to ensure that the non-compliance with sanctions </w:t>
      </w:r>
      <w:r w:rsidR="00C672F3" w:rsidRPr="001F3057">
        <w:t>would not be repeated by the Level 2 provider or others within the industry.</w:t>
      </w:r>
    </w:p>
    <w:p w14:paraId="099F5B79" w14:textId="77777777" w:rsidR="00C672F3" w:rsidRPr="001F3057" w:rsidRDefault="00C672F3" w:rsidP="0043113B">
      <w:pPr>
        <w:pStyle w:val="PSANormalFormal"/>
      </w:pPr>
    </w:p>
    <w:p w14:paraId="4184F8BD" w14:textId="3205D3F2" w:rsidR="00041ECC" w:rsidRPr="001F3057" w:rsidRDefault="00E61968" w:rsidP="0043113B">
      <w:pPr>
        <w:pStyle w:val="PSANormalFormal"/>
      </w:pPr>
      <w:r w:rsidRPr="001F3057">
        <w:t xml:space="preserve">The Tribunal </w:t>
      </w:r>
      <w:r w:rsidR="00F81A5F" w:rsidRPr="001F3057">
        <w:t xml:space="preserve">considered that the prohibition was a proportionate sanction </w:t>
      </w:r>
      <w:r w:rsidR="00B82AE8" w:rsidRPr="001F3057">
        <w:t xml:space="preserve">and considered that it was also necessary and proportionate to impose a fine. The Tribunal </w:t>
      </w:r>
      <w:r w:rsidR="001C6964" w:rsidRPr="001F3057">
        <w:t xml:space="preserve">regarded a breach of this nature to be very serious </w:t>
      </w:r>
      <w:r w:rsidR="009A5158" w:rsidRPr="001F3057">
        <w:t xml:space="preserve">and, regardless </w:t>
      </w:r>
      <w:r w:rsidR="001B50EC" w:rsidRPr="001F3057">
        <w:t>of the fact that nil revenue had been generated by the service</w:t>
      </w:r>
      <w:r w:rsidR="00F45DC3" w:rsidRPr="001F3057">
        <w:t xml:space="preserve">, </w:t>
      </w:r>
      <w:r w:rsidR="00466560" w:rsidRPr="001F3057">
        <w:t xml:space="preserve">the Tribunal </w:t>
      </w:r>
      <w:r w:rsidR="00384C26" w:rsidRPr="001F3057">
        <w:t xml:space="preserve">considered </w:t>
      </w:r>
      <w:r w:rsidR="00F45DC3" w:rsidRPr="001F3057">
        <w:t xml:space="preserve">there </w:t>
      </w:r>
      <w:r w:rsidR="00384C26" w:rsidRPr="001F3057">
        <w:t xml:space="preserve">to be </w:t>
      </w:r>
      <w:r w:rsidR="00F45DC3" w:rsidRPr="001F3057">
        <w:t xml:space="preserve">a </w:t>
      </w:r>
      <w:r w:rsidR="00D22CFD" w:rsidRPr="001F3057">
        <w:t xml:space="preserve">clear </w:t>
      </w:r>
      <w:r w:rsidR="00F45DC3" w:rsidRPr="001F3057">
        <w:t>need to deter providers from failing to pay fina</w:t>
      </w:r>
      <w:r w:rsidR="00384C26" w:rsidRPr="001F3057">
        <w:t>n</w:t>
      </w:r>
      <w:r w:rsidR="00F45DC3" w:rsidRPr="001F3057">
        <w:t>cial penalties imposed by the Regulator</w:t>
      </w:r>
      <w:r w:rsidR="00102E09">
        <w:t xml:space="preserve">. </w:t>
      </w:r>
      <w:r w:rsidR="00384C26" w:rsidRPr="001F3057">
        <w:t>To this extent, the fact that no further revenue had been generated since the previous Tribunal was irrel</w:t>
      </w:r>
      <w:r w:rsidR="00041ECC" w:rsidRPr="001F3057">
        <w:t>evant.</w:t>
      </w:r>
    </w:p>
    <w:p w14:paraId="254744F3" w14:textId="77777777" w:rsidR="00041ECC" w:rsidRPr="001F3057" w:rsidRDefault="00041ECC" w:rsidP="0043113B">
      <w:pPr>
        <w:pStyle w:val="PSANormalFormal"/>
      </w:pPr>
    </w:p>
    <w:p w14:paraId="698250B7" w14:textId="019A0E85" w:rsidR="005B7CC8" w:rsidRPr="001F3057" w:rsidRDefault="001B50EC" w:rsidP="0043113B">
      <w:pPr>
        <w:pStyle w:val="PSANormalFormal"/>
      </w:pPr>
      <w:r w:rsidRPr="001F3057">
        <w:t xml:space="preserve">The Tribunal considered that </w:t>
      </w:r>
      <w:r w:rsidR="009F579D" w:rsidRPr="001F3057">
        <w:t>the imposition of a fine of £200,000 was justified</w:t>
      </w:r>
      <w:r w:rsidR="00C40D25" w:rsidRPr="001F3057">
        <w:t xml:space="preserve">, given </w:t>
      </w:r>
      <w:r w:rsidR="009F579D" w:rsidRPr="001F3057">
        <w:t xml:space="preserve">the complete failure by the </w:t>
      </w:r>
      <w:r w:rsidR="005B7CC8" w:rsidRPr="001F3057">
        <w:t>Level 2 provider to engage with the Regulato</w:t>
      </w:r>
      <w:r w:rsidR="00C40D25" w:rsidRPr="001F3057">
        <w:t>r</w:t>
      </w:r>
      <w:r w:rsidR="005B7CC8" w:rsidRPr="001F3057">
        <w:t xml:space="preserve"> or to make payment of the fine</w:t>
      </w:r>
      <w:r w:rsidR="00D22CFD" w:rsidRPr="001F3057">
        <w:t xml:space="preserve"> and the very serious an</w:t>
      </w:r>
      <w:r w:rsidR="00B75C38" w:rsidRPr="001F3057">
        <w:t>d</w:t>
      </w:r>
      <w:r w:rsidR="00D22CFD" w:rsidRPr="001F3057">
        <w:t xml:space="preserve"> intentional nature of the breach</w:t>
      </w:r>
      <w:r w:rsidR="00B75C38" w:rsidRPr="001F3057">
        <w:t xml:space="preserve">. The Tribunal therefore did not consider that there was a need to make an adjustment </w:t>
      </w:r>
      <w:r w:rsidR="00BF3371">
        <w:t>to</w:t>
      </w:r>
      <w:r w:rsidR="00787F55" w:rsidRPr="001F3057">
        <w:t xml:space="preserve"> the initial sanctions.</w:t>
      </w:r>
    </w:p>
    <w:p w14:paraId="475F7351" w14:textId="77777777" w:rsidR="00133904" w:rsidRPr="001F3057" w:rsidRDefault="00133904" w:rsidP="0043113B">
      <w:pPr>
        <w:pStyle w:val="PSASubtitlesFormal"/>
      </w:pPr>
    </w:p>
    <w:p w14:paraId="33D7C76A" w14:textId="77777777" w:rsidR="00133904" w:rsidRPr="001F3057" w:rsidRDefault="00133904" w:rsidP="0043113B">
      <w:pPr>
        <w:pStyle w:val="PSASubtitlesFormal"/>
      </w:pPr>
      <w:r w:rsidRPr="001F3057">
        <w:t>Final Sanctions</w:t>
      </w:r>
    </w:p>
    <w:p w14:paraId="306D39AC" w14:textId="0E2BA284" w:rsidR="006138FF" w:rsidRPr="001F3057" w:rsidRDefault="00CE549B" w:rsidP="00B37DBD">
      <w:pPr>
        <w:pStyle w:val="PSANormalInternalDocs"/>
        <w:rPr>
          <w:rFonts w:eastAsia="Arial"/>
          <w:color w:val="17365D" w:themeColor="text2" w:themeShade="BF"/>
          <w:szCs w:val="22"/>
        </w:rPr>
      </w:pPr>
      <w:r>
        <w:rPr>
          <w:rFonts w:eastAsia="Arial"/>
          <w:color w:val="17365D" w:themeColor="text2" w:themeShade="BF"/>
        </w:rPr>
        <w:t>Considering</w:t>
      </w:r>
      <w:r w:rsidR="006138FF" w:rsidRPr="001F3057">
        <w:rPr>
          <w:rFonts w:eastAsia="Arial"/>
          <w:color w:val="17365D" w:themeColor="text2" w:themeShade="BF"/>
        </w:rPr>
        <w:t xml:space="preserve"> all </w:t>
      </w:r>
      <w:r>
        <w:rPr>
          <w:rFonts w:eastAsia="Arial"/>
          <w:color w:val="17365D" w:themeColor="text2" w:themeShade="BF"/>
        </w:rPr>
        <w:t xml:space="preserve">the </w:t>
      </w:r>
      <w:r w:rsidR="006138FF" w:rsidRPr="001F3057">
        <w:rPr>
          <w:rFonts w:eastAsia="Arial"/>
          <w:color w:val="17365D" w:themeColor="text2" w:themeShade="BF"/>
        </w:rPr>
        <w:t>circumstances of the case, the Tribunal decided to impose the following sanction</w:t>
      </w:r>
      <w:r w:rsidR="00BF3371">
        <w:rPr>
          <w:rFonts w:eastAsia="Arial"/>
          <w:color w:val="17365D" w:themeColor="text2" w:themeShade="BF"/>
        </w:rPr>
        <w:t>s</w:t>
      </w:r>
      <w:r w:rsidR="006138FF" w:rsidRPr="001F3057">
        <w:rPr>
          <w:rFonts w:eastAsia="Arial"/>
          <w:color w:val="17365D" w:themeColor="text2" w:themeShade="BF"/>
        </w:rPr>
        <w:t>:</w:t>
      </w:r>
    </w:p>
    <w:p w14:paraId="694A5984" w14:textId="77777777" w:rsidR="006138FF" w:rsidRPr="001F3057" w:rsidRDefault="006138FF" w:rsidP="00B37DBD">
      <w:pPr>
        <w:pStyle w:val="PSANormalInternalDocs"/>
      </w:pPr>
    </w:p>
    <w:p w14:paraId="64591B94" w14:textId="043D5B1F" w:rsidR="006138FF" w:rsidRPr="001F3057" w:rsidRDefault="00D51ECC" w:rsidP="00FE4BCE">
      <w:pPr>
        <w:pStyle w:val="PSANormalFormal"/>
        <w:numPr>
          <w:ilvl w:val="0"/>
          <w:numId w:val="13"/>
        </w:numPr>
      </w:pPr>
      <w:r>
        <w:t>a</w:t>
      </w:r>
      <w:r w:rsidRPr="001F3057">
        <w:t xml:space="preserve"> formal reprim</w:t>
      </w:r>
      <w:r w:rsidR="006138FF" w:rsidRPr="001F3057">
        <w:t>and</w:t>
      </w:r>
    </w:p>
    <w:p w14:paraId="4983FBEB" w14:textId="06D946BE" w:rsidR="006138FF" w:rsidRPr="001F3057" w:rsidRDefault="00AE6FBA" w:rsidP="00FE4BCE">
      <w:pPr>
        <w:pStyle w:val="PSANormalFormal"/>
        <w:numPr>
          <w:ilvl w:val="0"/>
          <w:numId w:val="13"/>
        </w:numPr>
      </w:pPr>
      <w:r>
        <w:t>a</w:t>
      </w:r>
      <w:r w:rsidR="006138FF" w:rsidRPr="001F3057">
        <w:t xml:space="preserve"> </w:t>
      </w:r>
      <w:r w:rsidR="00D51ECC" w:rsidRPr="001F3057">
        <w:t xml:space="preserve">fine </w:t>
      </w:r>
      <w:r w:rsidR="006138FF" w:rsidRPr="001F3057">
        <w:t>of £200,000</w:t>
      </w:r>
    </w:p>
    <w:p w14:paraId="559E899B" w14:textId="47746410" w:rsidR="006138FF" w:rsidRPr="00AE6FBA" w:rsidRDefault="00AE6FBA" w:rsidP="00B37DBD">
      <w:pPr>
        <w:pStyle w:val="PSANormalFormal"/>
        <w:numPr>
          <w:ilvl w:val="0"/>
          <w:numId w:val="13"/>
        </w:numPr>
        <w:rPr>
          <w:color w:val="17365D" w:themeColor="text2" w:themeShade="BF"/>
        </w:rPr>
      </w:pPr>
      <w:r>
        <w:t>a</w:t>
      </w:r>
      <w:r w:rsidR="00EF6BD1" w:rsidRPr="001F3057">
        <w:t xml:space="preserve"> prohibition on the Level 2 provider from providing or having any involvement in any </w:t>
      </w:r>
      <w:r w:rsidR="00390069">
        <w:t>premium rate services</w:t>
      </w:r>
      <w:r w:rsidR="00EF6BD1" w:rsidRPr="001F3057">
        <w:t xml:space="preserve"> or promotion for a period of </w:t>
      </w:r>
      <w:r w:rsidR="00D51ECC">
        <w:t>five</w:t>
      </w:r>
      <w:r w:rsidR="00EF6BD1" w:rsidRPr="001F3057">
        <w:t xml:space="preserve"> years from the date of the publication of the Tribunal’s decision.</w:t>
      </w:r>
    </w:p>
    <w:p w14:paraId="3E11D600" w14:textId="77777777" w:rsidR="00650331" w:rsidRPr="001F3057" w:rsidRDefault="00650331" w:rsidP="00B37DBD">
      <w:pPr>
        <w:pStyle w:val="PSANormalInternalDocs"/>
        <w:rPr>
          <w:color w:val="17365D" w:themeColor="text2" w:themeShade="BF"/>
        </w:rPr>
      </w:pPr>
    </w:p>
    <w:p w14:paraId="4D4B9DE8" w14:textId="3291BA98" w:rsidR="006138FF" w:rsidRPr="00146A74" w:rsidRDefault="006138FF" w:rsidP="00B37DBD">
      <w:pPr>
        <w:pStyle w:val="PSANormalInternalDocs"/>
        <w:rPr>
          <w:szCs w:val="22"/>
        </w:rPr>
      </w:pPr>
      <w:bookmarkStart w:id="3" w:name="_GoBack"/>
      <w:r w:rsidRPr="00146A74">
        <w:rPr>
          <w:color w:val="17365D" w:themeColor="text2" w:themeShade="BF"/>
        </w:rPr>
        <w:t xml:space="preserve">Administrative charge </w:t>
      </w:r>
      <w:r w:rsidRPr="00146A74">
        <w:rPr>
          <w:color w:val="17365D" w:themeColor="text2" w:themeShade="BF"/>
          <w:szCs w:val="22"/>
        </w:rPr>
        <w:t>recommendation</w:t>
      </w:r>
      <w:r w:rsidR="00AE6FBA" w:rsidRPr="00146A74">
        <w:rPr>
          <w:color w:val="17365D" w:themeColor="text2" w:themeShade="BF"/>
          <w:szCs w:val="22"/>
        </w:rPr>
        <w:t>:</w:t>
      </w:r>
      <w:r w:rsidRPr="00146A74">
        <w:rPr>
          <w:color w:val="17365D" w:themeColor="text2" w:themeShade="BF"/>
          <w:szCs w:val="22"/>
        </w:rPr>
        <w:t xml:space="preserve"> 100%</w:t>
      </w:r>
    </w:p>
    <w:bookmarkEnd w:id="3"/>
    <w:p w14:paraId="68F5BA4D" w14:textId="77777777" w:rsidR="006138FF" w:rsidRPr="001F3057" w:rsidRDefault="006138FF" w:rsidP="00B37DBD">
      <w:pPr>
        <w:pStyle w:val="PSANormalInternalDocs"/>
      </w:pPr>
    </w:p>
    <w:sectPr w:rsidR="006138FF" w:rsidRPr="001F3057" w:rsidSect="009257B8">
      <w:headerReference w:type="even" r:id="rId12"/>
      <w:footerReference w:type="default" r:id="rId13"/>
      <w:headerReference w:type="first" r:id="rId14"/>
      <w:footerReference w:type="first" r:id="rId15"/>
      <w:pgSz w:w="11907" w:h="16840" w:code="9"/>
      <w:pgMar w:top="1440" w:right="1440" w:bottom="1440" w:left="1440" w:header="709" w:footer="709" w:gutter="0"/>
      <w:paperSrc w:first="1" w:other="1"/>
      <w:cols w:space="708"/>
      <w:docGrid w:linePitch="7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3591A" w14:textId="77777777" w:rsidR="00A93FB7" w:rsidRDefault="00A93FB7" w:rsidP="007F3F70">
      <w:r>
        <w:separator/>
      </w:r>
    </w:p>
  </w:endnote>
  <w:endnote w:type="continuationSeparator" w:id="0">
    <w:p w14:paraId="64BA6889" w14:textId="77777777" w:rsidR="00A93FB7" w:rsidRDefault="00A93FB7" w:rsidP="007F3F70">
      <w:r>
        <w:continuationSeparator/>
      </w:r>
    </w:p>
  </w:endnote>
  <w:endnote w:type="continuationNotice" w:id="1">
    <w:p w14:paraId="385AF102" w14:textId="77777777" w:rsidR="00A93FB7" w:rsidRDefault="00A93F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00000001" w:usb1="5000604B" w:usb2="00000000" w:usb3="00000000" w:csb0="00000093" w:csb1="00000000"/>
  </w:font>
  <w:font w:name="Lato-Regular">
    <w:altName w:val="Lat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ato" w:hAnsi="Lato"/>
      </w:rPr>
      <w:id w:val="-722368548"/>
      <w:docPartObj>
        <w:docPartGallery w:val="Page Numbers (Bottom of Page)"/>
        <w:docPartUnique/>
      </w:docPartObj>
    </w:sdtPr>
    <w:sdtEndPr>
      <w:rPr>
        <w:noProof/>
      </w:rPr>
    </w:sdtEndPr>
    <w:sdtContent>
      <w:p w14:paraId="069A26A9" w14:textId="77777777" w:rsidR="009257B8" w:rsidRPr="009257B8" w:rsidRDefault="009257B8">
        <w:pPr>
          <w:pStyle w:val="Footer"/>
          <w:jc w:val="center"/>
          <w:rPr>
            <w:rFonts w:ascii="Lato" w:hAnsi="Lato"/>
          </w:rPr>
        </w:pPr>
        <w:r w:rsidRPr="009257B8">
          <w:rPr>
            <w:rFonts w:ascii="Lato" w:hAnsi="Lato"/>
          </w:rPr>
          <w:fldChar w:fldCharType="begin"/>
        </w:r>
        <w:r w:rsidRPr="009257B8">
          <w:rPr>
            <w:rFonts w:ascii="Lato" w:hAnsi="Lato"/>
          </w:rPr>
          <w:instrText xml:space="preserve"> PAGE   \* MERGEFORMAT </w:instrText>
        </w:r>
        <w:r w:rsidRPr="009257B8">
          <w:rPr>
            <w:rFonts w:ascii="Lato" w:hAnsi="Lato"/>
          </w:rPr>
          <w:fldChar w:fldCharType="separate"/>
        </w:r>
        <w:r w:rsidR="00146A74">
          <w:rPr>
            <w:rFonts w:ascii="Lato" w:hAnsi="Lato"/>
            <w:noProof/>
          </w:rPr>
          <w:t>6</w:t>
        </w:r>
        <w:r w:rsidRPr="009257B8">
          <w:rPr>
            <w:rFonts w:ascii="Lato" w:hAnsi="Lato"/>
            <w:noProof/>
          </w:rPr>
          <w:fldChar w:fldCharType="end"/>
        </w:r>
      </w:p>
    </w:sdtContent>
  </w:sdt>
  <w:p w14:paraId="62C9DF35" w14:textId="77777777" w:rsidR="009257B8" w:rsidRDefault="009257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017565"/>
      <w:docPartObj>
        <w:docPartGallery w:val="Page Numbers (Bottom of Page)"/>
        <w:docPartUnique/>
      </w:docPartObj>
    </w:sdtPr>
    <w:sdtEndPr>
      <w:rPr>
        <w:rFonts w:ascii="Lato" w:hAnsi="Lato"/>
        <w:noProof/>
        <w:color w:val="001446"/>
      </w:rPr>
    </w:sdtEndPr>
    <w:sdtContent>
      <w:p w14:paraId="01D7CA8D" w14:textId="77777777" w:rsidR="004619D8" w:rsidRPr="009257B8" w:rsidRDefault="004619D8">
        <w:pPr>
          <w:pStyle w:val="Footer"/>
          <w:jc w:val="center"/>
          <w:rPr>
            <w:rFonts w:ascii="Lato" w:hAnsi="Lato"/>
            <w:color w:val="001446"/>
          </w:rPr>
        </w:pPr>
        <w:r w:rsidRPr="009257B8">
          <w:rPr>
            <w:rFonts w:ascii="Lato" w:hAnsi="Lato"/>
            <w:color w:val="001446"/>
          </w:rPr>
          <w:fldChar w:fldCharType="begin"/>
        </w:r>
        <w:r w:rsidRPr="009257B8">
          <w:rPr>
            <w:rFonts w:ascii="Lato" w:hAnsi="Lato"/>
            <w:color w:val="001446"/>
          </w:rPr>
          <w:instrText xml:space="preserve"> PAGE   \* MERGEFORMAT </w:instrText>
        </w:r>
        <w:r w:rsidRPr="009257B8">
          <w:rPr>
            <w:rFonts w:ascii="Lato" w:hAnsi="Lato"/>
            <w:color w:val="001446"/>
          </w:rPr>
          <w:fldChar w:fldCharType="separate"/>
        </w:r>
        <w:r w:rsidR="009257B8">
          <w:rPr>
            <w:rFonts w:ascii="Lato" w:hAnsi="Lato"/>
            <w:noProof/>
            <w:color w:val="001446"/>
          </w:rPr>
          <w:t>1</w:t>
        </w:r>
        <w:r w:rsidRPr="009257B8">
          <w:rPr>
            <w:rFonts w:ascii="Lato" w:hAnsi="Lato"/>
            <w:noProof/>
            <w:color w:val="001446"/>
          </w:rPr>
          <w:fldChar w:fldCharType="end"/>
        </w:r>
      </w:p>
    </w:sdtContent>
  </w:sdt>
  <w:p w14:paraId="4E82466F" w14:textId="77777777" w:rsidR="004619D8" w:rsidRDefault="00461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CF924" w14:textId="77777777" w:rsidR="00A93FB7" w:rsidRDefault="00A93FB7" w:rsidP="007F3F70">
      <w:r>
        <w:separator/>
      </w:r>
    </w:p>
  </w:footnote>
  <w:footnote w:type="continuationSeparator" w:id="0">
    <w:p w14:paraId="20FA74B4" w14:textId="77777777" w:rsidR="00A93FB7" w:rsidRDefault="00A93FB7" w:rsidP="007F3F70">
      <w:r>
        <w:continuationSeparator/>
      </w:r>
    </w:p>
  </w:footnote>
  <w:footnote w:type="continuationNotice" w:id="1">
    <w:p w14:paraId="36B02C11" w14:textId="77777777" w:rsidR="00A93FB7" w:rsidRDefault="00A93F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D7975" w14:textId="77777777" w:rsidR="007F3F70" w:rsidRDefault="00A93FB7">
    <w:pPr>
      <w:pStyle w:val="Header"/>
    </w:pPr>
    <w:r>
      <w:rPr>
        <w:noProof/>
        <w:lang w:eastAsia="en-GB"/>
      </w:rPr>
      <w:pict w14:anchorId="4B096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41206" o:spid="_x0000_s2050" type="#_x0000_t75" style="position:absolute;margin-left:0;margin-top:0;width:595.2pt;height:841.9pt;z-index:-251658752;mso-position-horizontal:center;mso-position-horizontal-relative:margin;mso-position-vertical:center;mso-position-vertical-relative:margin" o:allowincell="f">
          <v:imagedata r:id="rId1" o:title="PSA 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B67E1" w14:textId="77777777" w:rsidR="007F3F70" w:rsidRDefault="00D460D9">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19D9"/>
    <w:multiLevelType w:val="hybridMultilevel"/>
    <w:tmpl w:val="B252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53728"/>
    <w:multiLevelType w:val="hybridMultilevel"/>
    <w:tmpl w:val="4BBA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D2BA9"/>
    <w:multiLevelType w:val="hybridMultilevel"/>
    <w:tmpl w:val="2B4E97BE"/>
    <w:lvl w:ilvl="0" w:tplc="E1E001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03731"/>
    <w:multiLevelType w:val="hybridMultilevel"/>
    <w:tmpl w:val="2A00A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A7E6C"/>
    <w:multiLevelType w:val="hybridMultilevel"/>
    <w:tmpl w:val="B0C64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127D5"/>
    <w:multiLevelType w:val="hybridMultilevel"/>
    <w:tmpl w:val="EE7A7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31B6B"/>
    <w:multiLevelType w:val="hybridMultilevel"/>
    <w:tmpl w:val="B3AA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305B5A"/>
    <w:multiLevelType w:val="hybridMultilevel"/>
    <w:tmpl w:val="D71CD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23D3E"/>
    <w:multiLevelType w:val="hybridMultilevel"/>
    <w:tmpl w:val="B8FA0554"/>
    <w:lvl w:ilvl="0" w:tplc="EDC07FEA">
      <w:start w:val="1"/>
      <w:numFmt w:val="decimal"/>
      <w:lvlText w:val="%1."/>
      <w:lvlJc w:val="left"/>
      <w:pPr>
        <w:ind w:left="720" w:hanging="360"/>
      </w:pPr>
      <w:rPr>
        <w:rFonts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6D1D21"/>
    <w:multiLevelType w:val="hybridMultilevel"/>
    <w:tmpl w:val="DDA24B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1265474"/>
    <w:multiLevelType w:val="hybridMultilevel"/>
    <w:tmpl w:val="4ECA0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6B10EB"/>
    <w:multiLevelType w:val="hybridMultilevel"/>
    <w:tmpl w:val="B75CC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5504B1"/>
    <w:multiLevelType w:val="hybridMultilevel"/>
    <w:tmpl w:val="F4E48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262181"/>
    <w:multiLevelType w:val="hybridMultilevel"/>
    <w:tmpl w:val="F704D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DD3E79"/>
    <w:multiLevelType w:val="hybridMultilevel"/>
    <w:tmpl w:val="AF247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2B10C2"/>
    <w:multiLevelType w:val="multilevel"/>
    <w:tmpl w:val="1D861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5"/>
  </w:num>
  <w:num w:numId="3">
    <w:abstractNumId w:val="4"/>
  </w:num>
  <w:num w:numId="4">
    <w:abstractNumId w:val="8"/>
  </w:num>
  <w:num w:numId="5">
    <w:abstractNumId w:val="12"/>
  </w:num>
  <w:num w:numId="6">
    <w:abstractNumId w:val="3"/>
  </w:num>
  <w:num w:numId="7">
    <w:abstractNumId w:val="9"/>
  </w:num>
  <w:num w:numId="8">
    <w:abstractNumId w:val="7"/>
  </w:num>
  <w:num w:numId="9">
    <w:abstractNumId w:val="13"/>
  </w:num>
  <w:num w:numId="10">
    <w:abstractNumId w:val="14"/>
  </w:num>
  <w:num w:numId="11">
    <w:abstractNumId w:val="1"/>
  </w:num>
  <w:num w:numId="12">
    <w:abstractNumId w:val="11"/>
  </w:num>
  <w:num w:numId="13">
    <w:abstractNumId w:val="0"/>
  </w:num>
  <w:num w:numId="14">
    <w:abstractNumId w:val="6"/>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381"/>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20B"/>
    <w:rsid w:val="00001CF4"/>
    <w:rsid w:val="00016152"/>
    <w:rsid w:val="00017693"/>
    <w:rsid w:val="00017A09"/>
    <w:rsid w:val="00041ECC"/>
    <w:rsid w:val="00046821"/>
    <w:rsid w:val="00062C84"/>
    <w:rsid w:val="00063208"/>
    <w:rsid w:val="000A2A3D"/>
    <w:rsid w:val="000B4FE1"/>
    <w:rsid w:val="000C2673"/>
    <w:rsid w:val="000E497B"/>
    <w:rsid w:val="00102E09"/>
    <w:rsid w:val="00112389"/>
    <w:rsid w:val="0012392A"/>
    <w:rsid w:val="00133904"/>
    <w:rsid w:val="0014048A"/>
    <w:rsid w:val="00140B84"/>
    <w:rsid w:val="00145AA5"/>
    <w:rsid w:val="00146A74"/>
    <w:rsid w:val="00165B45"/>
    <w:rsid w:val="00171D18"/>
    <w:rsid w:val="001A289B"/>
    <w:rsid w:val="001A6F00"/>
    <w:rsid w:val="001B50EC"/>
    <w:rsid w:val="001C50FC"/>
    <w:rsid w:val="001C6964"/>
    <w:rsid w:val="001E4FF2"/>
    <w:rsid w:val="001F3057"/>
    <w:rsid w:val="001F3B27"/>
    <w:rsid w:val="002101B3"/>
    <w:rsid w:val="00215804"/>
    <w:rsid w:val="00233445"/>
    <w:rsid w:val="00233F98"/>
    <w:rsid w:val="00240254"/>
    <w:rsid w:val="0024555D"/>
    <w:rsid w:val="002579C2"/>
    <w:rsid w:val="00263539"/>
    <w:rsid w:val="00292F18"/>
    <w:rsid w:val="002B6BA4"/>
    <w:rsid w:val="002D39AB"/>
    <w:rsid w:val="002E5C68"/>
    <w:rsid w:val="002F4D1C"/>
    <w:rsid w:val="003059E1"/>
    <w:rsid w:val="0031154A"/>
    <w:rsid w:val="00315234"/>
    <w:rsid w:val="00331DAA"/>
    <w:rsid w:val="00375421"/>
    <w:rsid w:val="00384C26"/>
    <w:rsid w:val="00385611"/>
    <w:rsid w:val="00390069"/>
    <w:rsid w:val="003D0DA9"/>
    <w:rsid w:val="0040221A"/>
    <w:rsid w:val="00430E59"/>
    <w:rsid w:val="0043113B"/>
    <w:rsid w:val="00435CF9"/>
    <w:rsid w:val="004619D8"/>
    <w:rsid w:val="00466560"/>
    <w:rsid w:val="00481638"/>
    <w:rsid w:val="004841A5"/>
    <w:rsid w:val="00491959"/>
    <w:rsid w:val="004B30E5"/>
    <w:rsid w:val="004C3FA5"/>
    <w:rsid w:val="004C566A"/>
    <w:rsid w:val="004D2187"/>
    <w:rsid w:val="004E1EA0"/>
    <w:rsid w:val="004E21D5"/>
    <w:rsid w:val="004E3ED9"/>
    <w:rsid w:val="004F1660"/>
    <w:rsid w:val="004F4A81"/>
    <w:rsid w:val="004F5014"/>
    <w:rsid w:val="00520271"/>
    <w:rsid w:val="00521CF7"/>
    <w:rsid w:val="00523439"/>
    <w:rsid w:val="00543433"/>
    <w:rsid w:val="005607B6"/>
    <w:rsid w:val="00585A3F"/>
    <w:rsid w:val="005B1FAE"/>
    <w:rsid w:val="005B7CC8"/>
    <w:rsid w:val="005E34DD"/>
    <w:rsid w:val="005E6EE3"/>
    <w:rsid w:val="005F0686"/>
    <w:rsid w:val="005F795C"/>
    <w:rsid w:val="006138FF"/>
    <w:rsid w:val="00623532"/>
    <w:rsid w:val="00650331"/>
    <w:rsid w:val="006579F1"/>
    <w:rsid w:val="006857F1"/>
    <w:rsid w:val="006953F7"/>
    <w:rsid w:val="006E0376"/>
    <w:rsid w:val="006F6C38"/>
    <w:rsid w:val="00704277"/>
    <w:rsid w:val="007254A3"/>
    <w:rsid w:val="0072620B"/>
    <w:rsid w:val="0076124F"/>
    <w:rsid w:val="00787F55"/>
    <w:rsid w:val="0079705E"/>
    <w:rsid w:val="007C6A56"/>
    <w:rsid w:val="007E018B"/>
    <w:rsid w:val="007F00BD"/>
    <w:rsid w:val="007F1BCE"/>
    <w:rsid w:val="007F3F70"/>
    <w:rsid w:val="008207B9"/>
    <w:rsid w:val="008240E7"/>
    <w:rsid w:val="00827B2B"/>
    <w:rsid w:val="00832972"/>
    <w:rsid w:val="008405E8"/>
    <w:rsid w:val="00895978"/>
    <w:rsid w:val="008A1BCA"/>
    <w:rsid w:val="008A46D3"/>
    <w:rsid w:val="008C2BA7"/>
    <w:rsid w:val="008D360A"/>
    <w:rsid w:val="008D5CB5"/>
    <w:rsid w:val="0092372F"/>
    <w:rsid w:val="009257B8"/>
    <w:rsid w:val="00931238"/>
    <w:rsid w:val="00955115"/>
    <w:rsid w:val="009557C0"/>
    <w:rsid w:val="0095745C"/>
    <w:rsid w:val="009A5158"/>
    <w:rsid w:val="009C27A5"/>
    <w:rsid w:val="009C5199"/>
    <w:rsid w:val="009D7183"/>
    <w:rsid w:val="009F579D"/>
    <w:rsid w:val="00A05F17"/>
    <w:rsid w:val="00A32898"/>
    <w:rsid w:val="00A61E9D"/>
    <w:rsid w:val="00A65CA3"/>
    <w:rsid w:val="00A81375"/>
    <w:rsid w:val="00A9364A"/>
    <w:rsid w:val="00A93FB7"/>
    <w:rsid w:val="00AB7A73"/>
    <w:rsid w:val="00AC37FE"/>
    <w:rsid w:val="00AE6FBA"/>
    <w:rsid w:val="00B05753"/>
    <w:rsid w:val="00B154A1"/>
    <w:rsid w:val="00B37DBD"/>
    <w:rsid w:val="00B42B1F"/>
    <w:rsid w:val="00B50C24"/>
    <w:rsid w:val="00B51D55"/>
    <w:rsid w:val="00B51EDA"/>
    <w:rsid w:val="00B60312"/>
    <w:rsid w:val="00B75C38"/>
    <w:rsid w:val="00B75E68"/>
    <w:rsid w:val="00B82AE8"/>
    <w:rsid w:val="00B9295D"/>
    <w:rsid w:val="00BA119A"/>
    <w:rsid w:val="00BB2A84"/>
    <w:rsid w:val="00BC07B4"/>
    <w:rsid w:val="00BC590C"/>
    <w:rsid w:val="00BD788F"/>
    <w:rsid w:val="00BF3371"/>
    <w:rsid w:val="00BF5F66"/>
    <w:rsid w:val="00C036D6"/>
    <w:rsid w:val="00C17220"/>
    <w:rsid w:val="00C20DAF"/>
    <w:rsid w:val="00C27B6B"/>
    <w:rsid w:val="00C40D25"/>
    <w:rsid w:val="00C53705"/>
    <w:rsid w:val="00C626EE"/>
    <w:rsid w:val="00C672F3"/>
    <w:rsid w:val="00C7636E"/>
    <w:rsid w:val="00C8714B"/>
    <w:rsid w:val="00C932F9"/>
    <w:rsid w:val="00C957B9"/>
    <w:rsid w:val="00CA60CC"/>
    <w:rsid w:val="00CD09D9"/>
    <w:rsid w:val="00CE0971"/>
    <w:rsid w:val="00CE549B"/>
    <w:rsid w:val="00D00980"/>
    <w:rsid w:val="00D10159"/>
    <w:rsid w:val="00D175BB"/>
    <w:rsid w:val="00D20A34"/>
    <w:rsid w:val="00D22CFD"/>
    <w:rsid w:val="00D353BE"/>
    <w:rsid w:val="00D35AF1"/>
    <w:rsid w:val="00D460D9"/>
    <w:rsid w:val="00D46AB8"/>
    <w:rsid w:val="00D51ECC"/>
    <w:rsid w:val="00D579BE"/>
    <w:rsid w:val="00D60224"/>
    <w:rsid w:val="00D65605"/>
    <w:rsid w:val="00D73DD3"/>
    <w:rsid w:val="00D73F5D"/>
    <w:rsid w:val="00D80142"/>
    <w:rsid w:val="00D87E91"/>
    <w:rsid w:val="00D94140"/>
    <w:rsid w:val="00DB50A0"/>
    <w:rsid w:val="00DB6E09"/>
    <w:rsid w:val="00DC08EA"/>
    <w:rsid w:val="00DC360D"/>
    <w:rsid w:val="00DD0EDC"/>
    <w:rsid w:val="00DD1CB0"/>
    <w:rsid w:val="00DD2880"/>
    <w:rsid w:val="00DF4B1D"/>
    <w:rsid w:val="00E222AE"/>
    <w:rsid w:val="00E23CCE"/>
    <w:rsid w:val="00E25495"/>
    <w:rsid w:val="00E52200"/>
    <w:rsid w:val="00E61386"/>
    <w:rsid w:val="00E61968"/>
    <w:rsid w:val="00E633F4"/>
    <w:rsid w:val="00E73BBE"/>
    <w:rsid w:val="00E80553"/>
    <w:rsid w:val="00E84451"/>
    <w:rsid w:val="00E85E95"/>
    <w:rsid w:val="00EA1CC2"/>
    <w:rsid w:val="00EA2274"/>
    <w:rsid w:val="00EA2769"/>
    <w:rsid w:val="00EA5AE2"/>
    <w:rsid w:val="00EE5257"/>
    <w:rsid w:val="00EF6BD1"/>
    <w:rsid w:val="00F0794B"/>
    <w:rsid w:val="00F13963"/>
    <w:rsid w:val="00F163E4"/>
    <w:rsid w:val="00F272EC"/>
    <w:rsid w:val="00F37AAD"/>
    <w:rsid w:val="00F43368"/>
    <w:rsid w:val="00F45DC3"/>
    <w:rsid w:val="00F558FE"/>
    <w:rsid w:val="00F81A5F"/>
    <w:rsid w:val="00F9079A"/>
    <w:rsid w:val="00F93FF6"/>
    <w:rsid w:val="00FA1B3D"/>
    <w:rsid w:val="00FB246B"/>
    <w:rsid w:val="00FB5108"/>
    <w:rsid w:val="00FE4BCE"/>
    <w:rsid w:val="00FF029C"/>
    <w:rsid w:val="00FF6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1B1F11B"/>
  <w15:docId w15:val="{168F0979-639C-487B-81A6-0A7F34DC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20B"/>
    <w:pPr>
      <w:overflowPunct w:val="0"/>
      <w:autoSpaceDE w:val="0"/>
      <w:autoSpaceDN w:val="0"/>
      <w:adjustRightInd w:val="0"/>
      <w:spacing w:after="0" w:line="240" w:lineRule="auto"/>
    </w:pPr>
    <w:rPr>
      <w:rFonts w:eastAsia="Times New Roman" w:cs="Times New Roman"/>
      <w:szCs w:val="20"/>
    </w:rPr>
  </w:style>
  <w:style w:type="paragraph" w:styleId="Heading1">
    <w:name w:val="heading 1"/>
    <w:basedOn w:val="Normal"/>
    <w:next w:val="Normal"/>
    <w:link w:val="Heading1Char"/>
    <w:uiPriority w:val="9"/>
    <w:rsid w:val="00D460D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D460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72620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F70"/>
    <w:pPr>
      <w:tabs>
        <w:tab w:val="center" w:pos="4513"/>
        <w:tab w:val="right" w:pos="9026"/>
      </w:tabs>
    </w:pPr>
  </w:style>
  <w:style w:type="character" w:customStyle="1" w:styleId="HeaderChar">
    <w:name w:val="Header Char"/>
    <w:basedOn w:val="DefaultParagraphFont"/>
    <w:link w:val="Header"/>
    <w:uiPriority w:val="99"/>
    <w:rsid w:val="007F3F70"/>
  </w:style>
  <w:style w:type="paragraph" w:styleId="Footer">
    <w:name w:val="footer"/>
    <w:basedOn w:val="Normal"/>
    <w:link w:val="FooterChar"/>
    <w:uiPriority w:val="99"/>
    <w:unhideWhenUsed/>
    <w:rsid w:val="007F3F70"/>
    <w:pPr>
      <w:tabs>
        <w:tab w:val="center" w:pos="4513"/>
        <w:tab w:val="right" w:pos="9026"/>
      </w:tabs>
    </w:pPr>
  </w:style>
  <w:style w:type="character" w:customStyle="1" w:styleId="FooterChar">
    <w:name w:val="Footer Char"/>
    <w:basedOn w:val="DefaultParagraphFont"/>
    <w:link w:val="Footer"/>
    <w:uiPriority w:val="99"/>
    <w:rsid w:val="007F3F70"/>
  </w:style>
  <w:style w:type="paragraph" w:styleId="BalloonText">
    <w:name w:val="Balloon Text"/>
    <w:basedOn w:val="Normal"/>
    <w:link w:val="BalloonTextChar"/>
    <w:uiPriority w:val="99"/>
    <w:semiHidden/>
    <w:unhideWhenUsed/>
    <w:rsid w:val="007F3F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F70"/>
    <w:rPr>
      <w:rFonts w:ascii="Segoe UI" w:hAnsi="Segoe UI" w:cs="Segoe UI"/>
      <w:sz w:val="18"/>
      <w:szCs w:val="18"/>
    </w:rPr>
  </w:style>
  <w:style w:type="paragraph" w:customStyle="1" w:styleId="PSANormalFormal">
    <w:name w:val="PSA Normal (Formal)"/>
    <w:basedOn w:val="Normal"/>
    <w:link w:val="PSANormalFormalChar"/>
    <w:qFormat/>
    <w:rsid w:val="0079705E"/>
    <w:rPr>
      <w:rFonts w:ascii="Lato" w:hAnsi="Lato"/>
      <w:color w:val="001446"/>
    </w:rPr>
  </w:style>
  <w:style w:type="paragraph" w:customStyle="1" w:styleId="PSASubtitlesFormal">
    <w:name w:val="PSA Subtitles (Formal)"/>
    <w:basedOn w:val="Heading2"/>
    <w:link w:val="PSASubtitlesFormalChar"/>
    <w:qFormat/>
    <w:rsid w:val="0079705E"/>
    <w:pPr>
      <w:spacing w:before="0" w:after="200"/>
    </w:pPr>
    <w:rPr>
      <w:rFonts w:ascii="Lato" w:hAnsi="Lato"/>
      <w:b/>
      <w:color w:val="D40C49"/>
      <w:sz w:val="22"/>
    </w:rPr>
  </w:style>
  <w:style w:type="character" w:customStyle="1" w:styleId="PSANormalFormalChar">
    <w:name w:val="PSA Normal (Formal) Char"/>
    <w:basedOn w:val="DefaultParagraphFont"/>
    <w:link w:val="PSANormalFormal"/>
    <w:rsid w:val="0079705E"/>
    <w:rPr>
      <w:rFonts w:ascii="Lato" w:hAnsi="Lato"/>
      <w:color w:val="001446"/>
    </w:rPr>
  </w:style>
  <w:style w:type="paragraph" w:customStyle="1" w:styleId="PSASectionHeaderFormal">
    <w:name w:val="PSA Section Header (Formal)"/>
    <w:basedOn w:val="Heading1"/>
    <w:link w:val="PSASectionHeaderFormalChar"/>
    <w:qFormat/>
    <w:rsid w:val="0079705E"/>
    <w:pPr>
      <w:spacing w:before="0" w:after="200"/>
    </w:pPr>
    <w:rPr>
      <w:rFonts w:ascii="Lato" w:hAnsi="Lato"/>
      <w:b/>
      <w:color w:val="001446"/>
      <w:sz w:val="28"/>
      <w:szCs w:val="28"/>
    </w:rPr>
  </w:style>
  <w:style w:type="character" w:customStyle="1" w:styleId="PSASubtitlesFormalChar">
    <w:name w:val="PSA Subtitles (Formal) Char"/>
    <w:basedOn w:val="DefaultParagraphFont"/>
    <w:link w:val="PSASubtitlesFormal"/>
    <w:rsid w:val="0079705E"/>
    <w:rPr>
      <w:rFonts w:ascii="Lato" w:eastAsiaTheme="majorEastAsia" w:hAnsi="Lato" w:cstheme="majorBidi"/>
      <w:b/>
      <w:color w:val="D40C49"/>
      <w:szCs w:val="26"/>
    </w:rPr>
  </w:style>
  <w:style w:type="character" w:customStyle="1" w:styleId="Heading2Char">
    <w:name w:val="Heading 2 Char"/>
    <w:basedOn w:val="DefaultParagraphFont"/>
    <w:link w:val="Heading2"/>
    <w:uiPriority w:val="9"/>
    <w:semiHidden/>
    <w:rsid w:val="00D460D9"/>
    <w:rPr>
      <w:rFonts w:asciiTheme="majorHAnsi" w:eastAsiaTheme="majorEastAsia" w:hAnsiTheme="majorHAnsi" w:cstheme="majorBidi"/>
      <w:color w:val="365F91" w:themeColor="accent1" w:themeShade="BF"/>
      <w:sz w:val="26"/>
      <w:szCs w:val="26"/>
    </w:rPr>
  </w:style>
  <w:style w:type="paragraph" w:customStyle="1" w:styleId="PSASectionHeaderInternalDocs">
    <w:name w:val="PSA Section Header (Internal Docs)"/>
    <w:basedOn w:val="PSASectionHeaderFormal"/>
    <w:link w:val="PSASectionHeaderInternalDocsChar"/>
    <w:qFormat/>
    <w:rsid w:val="0079705E"/>
    <w:rPr>
      <w:color w:val="auto"/>
    </w:rPr>
  </w:style>
  <w:style w:type="character" w:customStyle="1" w:styleId="Heading1Char">
    <w:name w:val="Heading 1 Char"/>
    <w:basedOn w:val="DefaultParagraphFont"/>
    <w:link w:val="Heading1"/>
    <w:uiPriority w:val="9"/>
    <w:rsid w:val="00D460D9"/>
    <w:rPr>
      <w:rFonts w:asciiTheme="majorHAnsi" w:eastAsiaTheme="majorEastAsia" w:hAnsiTheme="majorHAnsi" w:cstheme="majorBidi"/>
      <w:color w:val="365F91" w:themeColor="accent1" w:themeShade="BF"/>
      <w:sz w:val="32"/>
      <w:szCs w:val="32"/>
    </w:rPr>
  </w:style>
  <w:style w:type="character" w:customStyle="1" w:styleId="PSASectionHeaderFormalChar">
    <w:name w:val="PSA Section Header (Formal) Char"/>
    <w:basedOn w:val="Heading1Char"/>
    <w:link w:val="PSASectionHeaderFormal"/>
    <w:rsid w:val="0079705E"/>
    <w:rPr>
      <w:rFonts w:ascii="Lato" w:eastAsiaTheme="majorEastAsia" w:hAnsi="Lato" w:cstheme="majorBidi"/>
      <w:b/>
      <w:color w:val="001446"/>
      <w:sz w:val="28"/>
      <w:szCs w:val="28"/>
    </w:rPr>
  </w:style>
  <w:style w:type="paragraph" w:customStyle="1" w:styleId="PSASubtitlesInternalDocs">
    <w:name w:val="PSA Subtitles (Internal Docs)"/>
    <w:basedOn w:val="PSASubtitlesFormal"/>
    <w:link w:val="PSASubtitlesInternalDocsChar"/>
    <w:qFormat/>
    <w:rsid w:val="0079705E"/>
    <w:rPr>
      <w:color w:val="auto"/>
    </w:rPr>
  </w:style>
  <w:style w:type="character" w:customStyle="1" w:styleId="PSASectionHeaderInternalDocsChar">
    <w:name w:val="PSA Section Header (Internal Docs) Char"/>
    <w:basedOn w:val="PSASectionHeaderFormalChar"/>
    <w:link w:val="PSASectionHeaderInternalDocs"/>
    <w:rsid w:val="0079705E"/>
    <w:rPr>
      <w:rFonts w:ascii="Lato" w:eastAsiaTheme="majorEastAsia" w:hAnsi="Lato" w:cstheme="majorBidi"/>
      <w:b/>
      <w:color w:val="001446"/>
      <w:sz w:val="28"/>
      <w:szCs w:val="28"/>
    </w:rPr>
  </w:style>
  <w:style w:type="paragraph" w:customStyle="1" w:styleId="PSANormalInternalDocs">
    <w:name w:val="PSA Normal (Internal Docs)"/>
    <w:basedOn w:val="PSANormalFormal"/>
    <w:link w:val="PSANormalInternalDocsChar"/>
    <w:qFormat/>
    <w:rsid w:val="0079705E"/>
    <w:rPr>
      <w:color w:val="auto"/>
    </w:rPr>
  </w:style>
  <w:style w:type="character" w:customStyle="1" w:styleId="PSASubtitlesInternalDocsChar">
    <w:name w:val="PSA Subtitles (Internal Docs) Char"/>
    <w:basedOn w:val="PSASubtitlesFormalChar"/>
    <w:link w:val="PSASubtitlesInternalDocs"/>
    <w:rsid w:val="0079705E"/>
    <w:rPr>
      <w:rFonts w:ascii="Lato" w:eastAsiaTheme="majorEastAsia" w:hAnsi="Lato" w:cstheme="majorBidi"/>
      <w:b/>
      <w:color w:val="D40C49"/>
      <w:szCs w:val="26"/>
    </w:rPr>
  </w:style>
  <w:style w:type="character" w:styleId="BookTitle">
    <w:name w:val="Book Title"/>
    <w:basedOn w:val="DefaultParagraphFont"/>
    <w:uiPriority w:val="33"/>
    <w:rsid w:val="008240E7"/>
    <w:rPr>
      <w:b/>
      <w:bCs/>
      <w:i/>
      <w:iCs/>
      <w:spacing w:val="5"/>
    </w:rPr>
  </w:style>
  <w:style w:type="character" w:customStyle="1" w:styleId="PSANormalInternalDocsChar">
    <w:name w:val="PSA Normal (Internal Docs) Char"/>
    <w:basedOn w:val="PSANormalFormalChar"/>
    <w:link w:val="PSANormalInternalDocs"/>
    <w:rsid w:val="0079705E"/>
    <w:rPr>
      <w:rFonts w:ascii="Lato" w:hAnsi="Lato"/>
      <w:color w:val="001446"/>
    </w:rPr>
  </w:style>
  <w:style w:type="paragraph" w:customStyle="1" w:styleId="Default">
    <w:name w:val="Default"/>
    <w:rsid w:val="0072620B"/>
    <w:pPr>
      <w:autoSpaceDE w:val="0"/>
      <w:autoSpaceDN w:val="0"/>
      <w:adjustRightInd w:val="0"/>
      <w:spacing w:after="0" w:line="240" w:lineRule="auto"/>
    </w:pPr>
    <w:rPr>
      <w:rFonts w:ascii="Lato" w:hAnsi="Lato" w:cs="Lato"/>
      <w:color w:val="000000"/>
      <w:sz w:val="24"/>
      <w:szCs w:val="24"/>
    </w:rPr>
  </w:style>
  <w:style w:type="paragraph" w:styleId="ListParagraph">
    <w:name w:val="List Paragraph"/>
    <w:basedOn w:val="Normal"/>
    <w:uiPriority w:val="34"/>
    <w:qFormat/>
    <w:rsid w:val="0072620B"/>
    <w:pPr>
      <w:ind w:left="720"/>
      <w:contextualSpacing/>
    </w:pPr>
  </w:style>
  <w:style w:type="character" w:styleId="Emphasis">
    <w:name w:val="Emphasis"/>
    <w:basedOn w:val="DefaultParagraphFont"/>
    <w:qFormat/>
    <w:rsid w:val="0072620B"/>
    <w:rPr>
      <w:i/>
      <w:iCs/>
    </w:rPr>
  </w:style>
  <w:style w:type="character" w:customStyle="1" w:styleId="Heading4Char">
    <w:name w:val="Heading 4 Char"/>
    <w:basedOn w:val="DefaultParagraphFont"/>
    <w:link w:val="Heading4"/>
    <w:uiPriority w:val="9"/>
    <w:semiHidden/>
    <w:rsid w:val="0072620B"/>
    <w:rPr>
      <w:rFonts w:asciiTheme="majorHAnsi" w:eastAsiaTheme="majorEastAsia" w:hAnsiTheme="majorHAnsi" w:cstheme="majorBidi"/>
      <w:i/>
      <w:iCs/>
      <w:color w:val="365F91" w:themeColor="accent1" w:themeShade="BF"/>
      <w:szCs w:val="20"/>
    </w:rPr>
  </w:style>
  <w:style w:type="paragraph" w:styleId="NormalWeb">
    <w:name w:val="Normal (Web)"/>
    <w:basedOn w:val="Normal"/>
    <w:uiPriority w:val="99"/>
    <w:unhideWhenUsed/>
    <w:rsid w:val="0072620B"/>
    <w:pPr>
      <w:overflowPunct/>
      <w:autoSpaceDE/>
      <w:autoSpaceDN/>
      <w:adjustRightInd/>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D700942639D74EA8D532CB9E3B8F34" ma:contentTypeVersion="23" ma:contentTypeDescription="Create a new document." ma:contentTypeScope="" ma:versionID="ea0abc28584bd2a3c74fe7553a378909">
  <xsd:schema xmlns:xsd="http://www.w3.org/2001/XMLSchema" xmlns:xs="http://www.w3.org/2001/XMLSchema" xmlns:p="http://schemas.microsoft.com/office/2006/metadata/properties" xmlns:ns1="http://schemas.microsoft.com/sharepoint/v3" xmlns:ns2="d4dabc39-0240-4987-8353-e5dc206cfc07" xmlns:ns3="0f5b641e-613a-46a2-9971-4cffa239913b" targetNamespace="http://schemas.microsoft.com/office/2006/metadata/properties" ma:root="true" ma:fieldsID="386ebeb38a06c627024a82151e11eaeb" ns1:_="" ns2:_="" ns3:_="">
    <xsd:import namespace="http://schemas.microsoft.com/sharepoint/v3"/>
    <xsd:import namespace="d4dabc39-0240-4987-8353-e5dc206cfc07"/>
    <xsd:import namespace="0f5b641e-613a-46a2-9971-4cffa239913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dabc39-0240-4987-8353-e5dc206cfc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5b641e-613a-46a2-9971-4cffa23991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E0001-5071-4FD9-A4C5-65B5B6B973A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C975BC6-A3FA-46DF-9EF3-B32FF58F01A5}">
  <ds:schemaRefs>
    <ds:schemaRef ds:uri="http://schemas.microsoft.com/sharepoint/v3/contenttype/forms"/>
  </ds:schemaRefs>
</ds:datastoreItem>
</file>

<file path=customXml/itemProps3.xml><?xml version="1.0" encoding="utf-8"?>
<ds:datastoreItem xmlns:ds="http://schemas.openxmlformats.org/officeDocument/2006/customXml" ds:itemID="{1B69A863-FC4B-419C-8CF7-512560927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abc39-0240-4987-8353-e5dc206cfc07"/>
    <ds:schemaRef ds:uri="0f5b641e-613a-46a2-9971-4cffa2399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C2A172-7FF8-4FD0-B7A0-54C33851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2608</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Shamima Ali</dc:creator>
  <cp:keywords/>
  <dc:description/>
  <cp:lastModifiedBy>FRITZ</cp:lastModifiedBy>
  <cp:revision>4</cp:revision>
  <cp:lastPrinted>2016-10-10T13:45:00Z</cp:lastPrinted>
  <dcterms:created xsi:type="dcterms:W3CDTF">2019-02-07T15:22:00Z</dcterms:created>
  <dcterms:modified xsi:type="dcterms:W3CDTF">2019-02-08T11:44:00Z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0x01010099D700942639D74EA8D532CB9E3B8F34</vt:lpwstr>
  </property>
</Properties>
</file>